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A9AFA" w14:textId="5401C930" w:rsidR="006107D7" w:rsidRDefault="006107D7" w:rsidP="00BE442E">
      <w:pPr>
        <w:pStyle w:val="Titre"/>
        <w:jc w:val="center"/>
        <w:rPr>
          <w:sz w:val="44"/>
          <w:szCs w:val="12"/>
        </w:rPr>
      </w:pPr>
      <w:r w:rsidRPr="006107D7">
        <w:rPr>
          <w:sz w:val="44"/>
          <w:szCs w:val="12"/>
        </w:rPr>
        <w:t>Annexe méthodolo</w:t>
      </w:r>
      <w:r>
        <w:rPr>
          <w:sz w:val="44"/>
          <w:szCs w:val="12"/>
        </w:rPr>
        <w:t>g</w:t>
      </w:r>
      <w:r w:rsidRPr="006107D7">
        <w:rPr>
          <w:sz w:val="44"/>
          <w:szCs w:val="12"/>
        </w:rPr>
        <w:t>ique</w:t>
      </w:r>
      <w:r w:rsidR="006313DE">
        <w:rPr>
          <w:sz w:val="44"/>
          <w:szCs w:val="12"/>
        </w:rPr>
        <w:t> :</w:t>
      </w:r>
      <w:r w:rsidR="006313DE" w:rsidRPr="006313DE">
        <w:rPr>
          <w:sz w:val="44"/>
          <w:szCs w:val="12"/>
        </w:rPr>
        <w:t xml:space="preserve"> </w:t>
      </w:r>
      <w:r w:rsidR="00AA59C8">
        <w:rPr>
          <w:sz w:val="44"/>
          <w:szCs w:val="12"/>
        </w:rPr>
        <w:t xml:space="preserve">financements publics </w:t>
      </w:r>
      <w:r w:rsidR="006A176D">
        <w:rPr>
          <w:sz w:val="44"/>
          <w:szCs w:val="12"/>
        </w:rPr>
        <w:t>du</w:t>
      </w:r>
      <w:r w:rsidR="00AA59C8">
        <w:rPr>
          <w:sz w:val="44"/>
          <w:szCs w:val="12"/>
        </w:rPr>
        <w:t xml:space="preserve"> système alimentaire français</w:t>
      </w:r>
    </w:p>
    <w:p w14:paraId="05B78A7A" w14:textId="77777777" w:rsidR="000B488F" w:rsidRDefault="000B488F" w:rsidP="006107D7"/>
    <w:p w14:paraId="2F27DC9C" w14:textId="62E6966D" w:rsidR="00A24D57" w:rsidRDefault="00C70E2C" w:rsidP="006107D7">
      <w:r>
        <w:t>Septembre</w:t>
      </w:r>
      <w:r w:rsidR="00A24D57">
        <w:t xml:space="preserve"> 202</w:t>
      </w:r>
      <w:r w:rsidR="002B35D1">
        <w:t>4</w:t>
      </w:r>
    </w:p>
    <w:p w14:paraId="131AD5BE" w14:textId="466D91F0" w:rsidR="006107D7" w:rsidRDefault="00BE442E" w:rsidP="006107D7">
      <w:r>
        <w:t>Rédactrice</w:t>
      </w:r>
      <w:r w:rsidR="008D61F3">
        <w:t>s</w:t>
      </w:r>
      <w:r>
        <w:t xml:space="preserve"> : </w:t>
      </w:r>
      <w:r w:rsidR="008D61F3">
        <w:t>Lucile Henry (BASIC), Lucile Rogissart (I4CE)</w:t>
      </w:r>
    </w:p>
    <w:sdt>
      <w:sdtPr>
        <w:id w:val="1681482726"/>
        <w:docPartObj>
          <w:docPartGallery w:val="Table of Contents"/>
          <w:docPartUnique/>
        </w:docPartObj>
      </w:sdtPr>
      <w:sdtEndPr/>
      <w:sdtContent>
        <w:p w14:paraId="3DEC89DE" w14:textId="42FB14CC" w:rsidR="00A3618D" w:rsidRDefault="00D60F7C">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r>
            <w:fldChar w:fldCharType="begin"/>
          </w:r>
          <w:r w:rsidR="520A432B">
            <w:instrText>TOC \o "1-3" \h \z \u</w:instrText>
          </w:r>
          <w:r>
            <w:fldChar w:fldCharType="separate"/>
          </w:r>
          <w:hyperlink w:anchor="_Toc177052046" w:history="1">
            <w:r w:rsidR="00A3618D" w:rsidRPr="00B03552">
              <w:rPr>
                <w:rStyle w:val="Lienhypertexte"/>
                <w:noProof/>
              </w:rPr>
              <w:t>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En bref</w:t>
            </w:r>
            <w:r w:rsidR="00A3618D">
              <w:rPr>
                <w:noProof/>
                <w:webHidden/>
              </w:rPr>
              <w:tab/>
            </w:r>
            <w:r w:rsidR="00A3618D">
              <w:rPr>
                <w:noProof/>
                <w:webHidden/>
              </w:rPr>
              <w:fldChar w:fldCharType="begin"/>
            </w:r>
            <w:r w:rsidR="00A3618D">
              <w:rPr>
                <w:noProof/>
                <w:webHidden/>
              </w:rPr>
              <w:instrText xml:space="preserve"> PAGEREF _Toc177052046 \h </w:instrText>
            </w:r>
            <w:r w:rsidR="00A3618D">
              <w:rPr>
                <w:noProof/>
                <w:webHidden/>
              </w:rPr>
            </w:r>
            <w:r w:rsidR="00A3618D">
              <w:rPr>
                <w:noProof/>
                <w:webHidden/>
              </w:rPr>
              <w:fldChar w:fldCharType="separate"/>
            </w:r>
            <w:r w:rsidR="00A3618D">
              <w:rPr>
                <w:noProof/>
                <w:webHidden/>
              </w:rPr>
              <w:t>4</w:t>
            </w:r>
            <w:r w:rsidR="00A3618D">
              <w:rPr>
                <w:noProof/>
                <w:webHidden/>
              </w:rPr>
              <w:fldChar w:fldCharType="end"/>
            </w:r>
          </w:hyperlink>
        </w:p>
        <w:p w14:paraId="3671E297" w14:textId="3E5F7346"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47" w:history="1">
            <w:r w:rsidR="00A3618D" w:rsidRPr="00B03552">
              <w:rPr>
                <w:rStyle w:val="Lienhypertexte"/>
                <w:noProof/>
              </w:rPr>
              <w:t>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Objectifs</w:t>
            </w:r>
            <w:r w:rsidR="00A3618D">
              <w:rPr>
                <w:noProof/>
                <w:webHidden/>
              </w:rPr>
              <w:tab/>
            </w:r>
            <w:r w:rsidR="00A3618D">
              <w:rPr>
                <w:noProof/>
                <w:webHidden/>
              </w:rPr>
              <w:fldChar w:fldCharType="begin"/>
            </w:r>
            <w:r w:rsidR="00A3618D">
              <w:rPr>
                <w:noProof/>
                <w:webHidden/>
              </w:rPr>
              <w:instrText xml:space="preserve"> PAGEREF _Toc177052047 \h </w:instrText>
            </w:r>
            <w:r w:rsidR="00A3618D">
              <w:rPr>
                <w:noProof/>
                <w:webHidden/>
              </w:rPr>
            </w:r>
            <w:r w:rsidR="00A3618D">
              <w:rPr>
                <w:noProof/>
                <w:webHidden/>
              </w:rPr>
              <w:fldChar w:fldCharType="separate"/>
            </w:r>
            <w:r w:rsidR="00A3618D">
              <w:rPr>
                <w:noProof/>
                <w:webHidden/>
              </w:rPr>
              <w:t>4</w:t>
            </w:r>
            <w:r w:rsidR="00A3618D">
              <w:rPr>
                <w:noProof/>
                <w:webHidden/>
              </w:rPr>
              <w:fldChar w:fldCharType="end"/>
            </w:r>
          </w:hyperlink>
        </w:p>
        <w:p w14:paraId="4A0E85A2" w14:textId="1395AD36"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48" w:history="1">
            <w:r w:rsidR="00A3618D" w:rsidRPr="00B03552">
              <w:rPr>
                <w:rStyle w:val="Lienhypertexte"/>
                <w:noProof/>
              </w:rPr>
              <w:t>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Périmètre</w:t>
            </w:r>
            <w:r w:rsidR="00A3618D">
              <w:rPr>
                <w:noProof/>
                <w:webHidden/>
              </w:rPr>
              <w:tab/>
            </w:r>
            <w:r w:rsidR="00A3618D">
              <w:rPr>
                <w:noProof/>
                <w:webHidden/>
              </w:rPr>
              <w:fldChar w:fldCharType="begin"/>
            </w:r>
            <w:r w:rsidR="00A3618D">
              <w:rPr>
                <w:noProof/>
                <w:webHidden/>
              </w:rPr>
              <w:instrText xml:space="preserve"> PAGEREF _Toc177052048 \h </w:instrText>
            </w:r>
            <w:r w:rsidR="00A3618D">
              <w:rPr>
                <w:noProof/>
                <w:webHidden/>
              </w:rPr>
            </w:r>
            <w:r w:rsidR="00A3618D">
              <w:rPr>
                <w:noProof/>
                <w:webHidden/>
              </w:rPr>
              <w:fldChar w:fldCharType="separate"/>
            </w:r>
            <w:r w:rsidR="00A3618D">
              <w:rPr>
                <w:noProof/>
                <w:webHidden/>
              </w:rPr>
              <w:t>4</w:t>
            </w:r>
            <w:r w:rsidR="00A3618D">
              <w:rPr>
                <w:noProof/>
                <w:webHidden/>
              </w:rPr>
              <w:fldChar w:fldCharType="end"/>
            </w:r>
          </w:hyperlink>
        </w:p>
        <w:p w14:paraId="2A297C55" w14:textId="23017567"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49" w:history="1">
            <w:r w:rsidR="00A3618D" w:rsidRPr="00B03552">
              <w:rPr>
                <w:rStyle w:val="Lienhypertexte"/>
                <w:noProof/>
              </w:rPr>
              <w:t>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Méthodologie générale de collecte des montants de dépense</w:t>
            </w:r>
            <w:r w:rsidR="00A3618D">
              <w:rPr>
                <w:noProof/>
                <w:webHidden/>
              </w:rPr>
              <w:tab/>
            </w:r>
            <w:r w:rsidR="00A3618D">
              <w:rPr>
                <w:noProof/>
                <w:webHidden/>
              </w:rPr>
              <w:fldChar w:fldCharType="begin"/>
            </w:r>
            <w:r w:rsidR="00A3618D">
              <w:rPr>
                <w:noProof/>
                <w:webHidden/>
              </w:rPr>
              <w:instrText xml:space="preserve"> PAGEREF _Toc177052049 \h </w:instrText>
            </w:r>
            <w:r w:rsidR="00A3618D">
              <w:rPr>
                <w:noProof/>
                <w:webHidden/>
              </w:rPr>
            </w:r>
            <w:r w:rsidR="00A3618D">
              <w:rPr>
                <w:noProof/>
                <w:webHidden/>
              </w:rPr>
              <w:fldChar w:fldCharType="separate"/>
            </w:r>
            <w:r w:rsidR="00A3618D">
              <w:rPr>
                <w:noProof/>
                <w:webHidden/>
              </w:rPr>
              <w:t>5</w:t>
            </w:r>
            <w:r w:rsidR="00A3618D">
              <w:rPr>
                <w:noProof/>
                <w:webHidden/>
              </w:rPr>
              <w:fldChar w:fldCharType="end"/>
            </w:r>
          </w:hyperlink>
        </w:p>
        <w:p w14:paraId="1493929C" w14:textId="5AA39967"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0" w:history="1">
            <w:r w:rsidR="00A3618D" w:rsidRPr="00B03552">
              <w:rPr>
                <w:rStyle w:val="Lienhypertexte"/>
                <w:noProof/>
              </w:rPr>
              <w:t>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Collecte des données brutes</w:t>
            </w:r>
            <w:r w:rsidR="00A3618D">
              <w:rPr>
                <w:noProof/>
                <w:webHidden/>
              </w:rPr>
              <w:tab/>
            </w:r>
            <w:r w:rsidR="00A3618D">
              <w:rPr>
                <w:noProof/>
                <w:webHidden/>
              </w:rPr>
              <w:fldChar w:fldCharType="begin"/>
            </w:r>
            <w:r w:rsidR="00A3618D">
              <w:rPr>
                <w:noProof/>
                <w:webHidden/>
              </w:rPr>
              <w:instrText xml:space="preserve"> PAGEREF _Toc177052050 \h </w:instrText>
            </w:r>
            <w:r w:rsidR="00A3618D">
              <w:rPr>
                <w:noProof/>
                <w:webHidden/>
              </w:rPr>
            </w:r>
            <w:r w:rsidR="00A3618D">
              <w:rPr>
                <w:noProof/>
                <w:webHidden/>
              </w:rPr>
              <w:fldChar w:fldCharType="separate"/>
            </w:r>
            <w:r w:rsidR="00A3618D">
              <w:rPr>
                <w:noProof/>
                <w:webHidden/>
              </w:rPr>
              <w:t>5</w:t>
            </w:r>
            <w:r w:rsidR="00A3618D">
              <w:rPr>
                <w:noProof/>
                <w:webHidden/>
              </w:rPr>
              <w:fldChar w:fldCharType="end"/>
            </w:r>
          </w:hyperlink>
        </w:p>
        <w:p w14:paraId="7C6C3A51" w14:textId="30680524"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1" w:history="1">
            <w:r w:rsidR="00A3618D" w:rsidRPr="00B03552">
              <w:rPr>
                <w:rStyle w:val="Lienhypertexte"/>
                <w:noProof/>
              </w:rPr>
              <w:t>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des dépenses perçues par des bénéficiaires différents, appartenant partiellement ou en totalité au système alimentaire : la proratisation</w:t>
            </w:r>
            <w:r w:rsidR="00A3618D">
              <w:rPr>
                <w:noProof/>
                <w:webHidden/>
              </w:rPr>
              <w:tab/>
            </w:r>
            <w:r w:rsidR="00A3618D">
              <w:rPr>
                <w:noProof/>
                <w:webHidden/>
              </w:rPr>
              <w:fldChar w:fldCharType="begin"/>
            </w:r>
            <w:r w:rsidR="00A3618D">
              <w:rPr>
                <w:noProof/>
                <w:webHidden/>
              </w:rPr>
              <w:instrText xml:space="preserve"> PAGEREF _Toc177052051 \h </w:instrText>
            </w:r>
            <w:r w:rsidR="00A3618D">
              <w:rPr>
                <w:noProof/>
                <w:webHidden/>
              </w:rPr>
            </w:r>
            <w:r w:rsidR="00A3618D">
              <w:rPr>
                <w:noProof/>
                <w:webHidden/>
              </w:rPr>
              <w:fldChar w:fldCharType="separate"/>
            </w:r>
            <w:r w:rsidR="00A3618D">
              <w:rPr>
                <w:noProof/>
                <w:webHidden/>
              </w:rPr>
              <w:t>5</w:t>
            </w:r>
            <w:r w:rsidR="00A3618D">
              <w:rPr>
                <w:noProof/>
                <w:webHidden/>
              </w:rPr>
              <w:fldChar w:fldCharType="end"/>
            </w:r>
          </w:hyperlink>
        </w:p>
        <w:p w14:paraId="5F0638D9" w14:textId="51280C87"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2" w:history="1">
            <w:r w:rsidR="00A3618D" w:rsidRPr="00B03552">
              <w:rPr>
                <w:rStyle w:val="Lienhypertexte"/>
                <w:noProof/>
              </w:rPr>
              <w:t>2.3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des montants non disponibles dans les documents budgétaires : l’estimation</w:t>
            </w:r>
            <w:r w:rsidR="00A3618D">
              <w:rPr>
                <w:noProof/>
                <w:webHidden/>
              </w:rPr>
              <w:tab/>
            </w:r>
            <w:r w:rsidR="00A3618D">
              <w:rPr>
                <w:noProof/>
                <w:webHidden/>
              </w:rPr>
              <w:fldChar w:fldCharType="begin"/>
            </w:r>
            <w:r w:rsidR="00A3618D">
              <w:rPr>
                <w:noProof/>
                <w:webHidden/>
              </w:rPr>
              <w:instrText xml:space="preserve"> PAGEREF _Toc177052052 \h </w:instrText>
            </w:r>
            <w:r w:rsidR="00A3618D">
              <w:rPr>
                <w:noProof/>
                <w:webHidden/>
              </w:rPr>
            </w:r>
            <w:r w:rsidR="00A3618D">
              <w:rPr>
                <w:noProof/>
                <w:webHidden/>
              </w:rPr>
              <w:fldChar w:fldCharType="separate"/>
            </w:r>
            <w:r w:rsidR="00A3618D">
              <w:rPr>
                <w:noProof/>
                <w:webHidden/>
              </w:rPr>
              <w:t>8</w:t>
            </w:r>
            <w:r w:rsidR="00A3618D">
              <w:rPr>
                <w:noProof/>
                <w:webHidden/>
              </w:rPr>
              <w:fldChar w:fldCharType="end"/>
            </w:r>
          </w:hyperlink>
        </w:p>
        <w:p w14:paraId="0CBFCDC1" w14:textId="01C270FD"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3" w:history="1">
            <w:r w:rsidR="00A3618D" w:rsidRPr="00B03552">
              <w:rPr>
                <w:rStyle w:val="Lienhypertexte"/>
                <w:noProof/>
              </w:rPr>
              <w:t>2.4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des années manquantes : application de l’inflation</w:t>
            </w:r>
            <w:r w:rsidR="00A3618D">
              <w:rPr>
                <w:noProof/>
                <w:webHidden/>
              </w:rPr>
              <w:tab/>
            </w:r>
            <w:r w:rsidR="00A3618D">
              <w:rPr>
                <w:noProof/>
                <w:webHidden/>
              </w:rPr>
              <w:fldChar w:fldCharType="begin"/>
            </w:r>
            <w:r w:rsidR="00A3618D">
              <w:rPr>
                <w:noProof/>
                <w:webHidden/>
              </w:rPr>
              <w:instrText xml:space="preserve"> PAGEREF _Toc177052053 \h </w:instrText>
            </w:r>
            <w:r w:rsidR="00A3618D">
              <w:rPr>
                <w:noProof/>
                <w:webHidden/>
              </w:rPr>
            </w:r>
            <w:r w:rsidR="00A3618D">
              <w:rPr>
                <w:noProof/>
                <w:webHidden/>
              </w:rPr>
              <w:fldChar w:fldCharType="separate"/>
            </w:r>
            <w:r w:rsidR="00A3618D">
              <w:rPr>
                <w:noProof/>
                <w:webHidden/>
              </w:rPr>
              <w:t>8</w:t>
            </w:r>
            <w:r w:rsidR="00A3618D">
              <w:rPr>
                <w:noProof/>
                <w:webHidden/>
              </w:rPr>
              <w:fldChar w:fldCharType="end"/>
            </w:r>
          </w:hyperlink>
        </w:p>
        <w:p w14:paraId="35450E53" w14:textId="4074DBD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4" w:history="1">
            <w:r w:rsidR="00A3618D" w:rsidRPr="00B03552">
              <w:rPr>
                <w:rStyle w:val="Lienhypertexte"/>
                <w:noProof/>
              </w:rPr>
              <w:t>2.5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des données prévisionnelles non fournies</w:t>
            </w:r>
            <w:r w:rsidR="00A3618D">
              <w:rPr>
                <w:noProof/>
                <w:webHidden/>
              </w:rPr>
              <w:tab/>
            </w:r>
            <w:r w:rsidR="00A3618D">
              <w:rPr>
                <w:noProof/>
                <w:webHidden/>
              </w:rPr>
              <w:fldChar w:fldCharType="begin"/>
            </w:r>
            <w:r w:rsidR="00A3618D">
              <w:rPr>
                <w:noProof/>
                <w:webHidden/>
              </w:rPr>
              <w:instrText xml:space="preserve"> PAGEREF _Toc177052054 \h </w:instrText>
            </w:r>
            <w:r w:rsidR="00A3618D">
              <w:rPr>
                <w:noProof/>
                <w:webHidden/>
              </w:rPr>
            </w:r>
            <w:r w:rsidR="00A3618D">
              <w:rPr>
                <w:noProof/>
                <w:webHidden/>
              </w:rPr>
              <w:fldChar w:fldCharType="separate"/>
            </w:r>
            <w:r w:rsidR="00A3618D">
              <w:rPr>
                <w:noProof/>
                <w:webHidden/>
              </w:rPr>
              <w:t>8</w:t>
            </w:r>
            <w:r w:rsidR="00A3618D">
              <w:rPr>
                <w:noProof/>
                <w:webHidden/>
              </w:rPr>
              <w:fldChar w:fldCharType="end"/>
            </w:r>
          </w:hyperlink>
        </w:p>
        <w:p w14:paraId="35435C3F" w14:textId="213A7428"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55" w:history="1">
            <w:r w:rsidR="00A3618D" w:rsidRPr="00B03552">
              <w:rPr>
                <w:rStyle w:val="Lienhypertexte"/>
                <w:noProof/>
              </w:rPr>
              <w:t>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Méthodologie générale de codage analytique</w:t>
            </w:r>
            <w:r w:rsidR="00A3618D">
              <w:rPr>
                <w:noProof/>
                <w:webHidden/>
              </w:rPr>
              <w:tab/>
            </w:r>
            <w:r w:rsidR="00A3618D">
              <w:rPr>
                <w:noProof/>
                <w:webHidden/>
              </w:rPr>
              <w:fldChar w:fldCharType="begin"/>
            </w:r>
            <w:r w:rsidR="00A3618D">
              <w:rPr>
                <w:noProof/>
                <w:webHidden/>
              </w:rPr>
              <w:instrText xml:space="preserve"> PAGEREF _Toc177052055 \h </w:instrText>
            </w:r>
            <w:r w:rsidR="00A3618D">
              <w:rPr>
                <w:noProof/>
                <w:webHidden/>
              </w:rPr>
            </w:r>
            <w:r w:rsidR="00A3618D">
              <w:rPr>
                <w:noProof/>
                <w:webHidden/>
              </w:rPr>
              <w:fldChar w:fldCharType="separate"/>
            </w:r>
            <w:r w:rsidR="00A3618D">
              <w:rPr>
                <w:noProof/>
                <w:webHidden/>
              </w:rPr>
              <w:t>9</w:t>
            </w:r>
            <w:r w:rsidR="00A3618D">
              <w:rPr>
                <w:noProof/>
                <w:webHidden/>
              </w:rPr>
              <w:fldChar w:fldCharType="end"/>
            </w:r>
          </w:hyperlink>
        </w:p>
        <w:p w14:paraId="7436AB69" w14:textId="22D9CF8D"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6" w:history="1">
            <w:r w:rsidR="00A3618D" w:rsidRPr="00B03552">
              <w:rPr>
                <w:rStyle w:val="Lienhypertexte"/>
                <w:noProof/>
              </w:rPr>
              <w:t>3.1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Principes généraux</w:t>
            </w:r>
            <w:r w:rsidR="00A3618D">
              <w:rPr>
                <w:noProof/>
                <w:webHidden/>
              </w:rPr>
              <w:tab/>
            </w:r>
            <w:r w:rsidR="00A3618D">
              <w:rPr>
                <w:noProof/>
                <w:webHidden/>
              </w:rPr>
              <w:fldChar w:fldCharType="begin"/>
            </w:r>
            <w:r w:rsidR="00A3618D">
              <w:rPr>
                <w:noProof/>
                <w:webHidden/>
              </w:rPr>
              <w:instrText xml:space="preserve"> PAGEREF _Toc177052056 \h </w:instrText>
            </w:r>
            <w:r w:rsidR="00A3618D">
              <w:rPr>
                <w:noProof/>
                <w:webHidden/>
              </w:rPr>
            </w:r>
            <w:r w:rsidR="00A3618D">
              <w:rPr>
                <w:noProof/>
                <w:webHidden/>
              </w:rPr>
              <w:fldChar w:fldCharType="separate"/>
            </w:r>
            <w:r w:rsidR="00A3618D">
              <w:rPr>
                <w:noProof/>
                <w:webHidden/>
              </w:rPr>
              <w:t>9</w:t>
            </w:r>
            <w:r w:rsidR="00A3618D">
              <w:rPr>
                <w:noProof/>
                <w:webHidden/>
              </w:rPr>
              <w:fldChar w:fldCharType="end"/>
            </w:r>
          </w:hyperlink>
        </w:p>
        <w:p w14:paraId="705AC2C5" w14:textId="3AF9D7D7"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7" w:history="1">
            <w:r w:rsidR="00A3618D" w:rsidRPr="00B03552">
              <w:rPr>
                <w:rStyle w:val="Lienhypertexte"/>
                <w:noProof/>
              </w:rPr>
              <w:t>3.2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Source</w:t>
            </w:r>
            <w:r w:rsidR="00A3618D">
              <w:rPr>
                <w:noProof/>
                <w:webHidden/>
              </w:rPr>
              <w:tab/>
            </w:r>
            <w:r w:rsidR="00A3618D">
              <w:rPr>
                <w:noProof/>
                <w:webHidden/>
              </w:rPr>
              <w:fldChar w:fldCharType="begin"/>
            </w:r>
            <w:r w:rsidR="00A3618D">
              <w:rPr>
                <w:noProof/>
                <w:webHidden/>
              </w:rPr>
              <w:instrText xml:space="preserve"> PAGEREF _Toc177052057 \h </w:instrText>
            </w:r>
            <w:r w:rsidR="00A3618D">
              <w:rPr>
                <w:noProof/>
                <w:webHidden/>
              </w:rPr>
            </w:r>
            <w:r w:rsidR="00A3618D">
              <w:rPr>
                <w:noProof/>
                <w:webHidden/>
              </w:rPr>
              <w:fldChar w:fldCharType="separate"/>
            </w:r>
            <w:r w:rsidR="00A3618D">
              <w:rPr>
                <w:noProof/>
                <w:webHidden/>
              </w:rPr>
              <w:t>9</w:t>
            </w:r>
            <w:r w:rsidR="00A3618D">
              <w:rPr>
                <w:noProof/>
                <w:webHidden/>
              </w:rPr>
              <w:fldChar w:fldCharType="end"/>
            </w:r>
          </w:hyperlink>
        </w:p>
        <w:p w14:paraId="64EEE17F" w14:textId="2F5FDDF3"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8" w:history="1">
            <w:r w:rsidR="00A3618D" w:rsidRPr="00B03552">
              <w:rPr>
                <w:rStyle w:val="Lienhypertexte"/>
                <w:noProof/>
              </w:rPr>
              <w:t>3.3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Bénéficiaire</w:t>
            </w:r>
            <w:r w:rsidR="00A3618D">
              <w:rPr>
                <w:noProof/>
                <w:webHidden/>
              </w:rPr>
              <w:tab/>
            </w:r>
            <w:r w:rsidR="00A3618D">
              <w:rPr>
                <w:noProof/>
                <w:webHidden/>
              </w:rPr>
              <w:fldChar w:fldCharType="begin"/>
            </w:r>
            <w:r w:rsidR="00A3618D">
              <w:rPr>
                <w:noProof/>
                <w:webHidden/>
              </w:rPr>
              <w:instrText xml:space="preserve"> PAGEREF _Toc177052058 \h </w:instrText>
            </w:r>
            <w:r w:rsidR="00A3618D">
              <w:rPr>
                <w:noProof/>
                <w:webHidden/>
              </w:rPr>
            </w:r>
            <w:r w:rsidR="00A3618D">
              <w:rPr>
                <w:noProof/>
                <w:webHidden/>
              </w:rPr>
              <w:fldChar w:fldCharType="separate"/>
            </w:r>
            <w:r w:rsidR="00A3618D">
              <w:rPr>
                <w:noProof/>
                <w:webHidden/>
              </w:rPr>
              <w:t>10</w:t>
            </w:r>
            <w:r w:rsidR="00A3618D">
              <w:rPr>
                <w:noProof/>
                <w:webHidden/>
              </w:rPr>
              <w:fldChar w:fldCharType="end"/>
            </w:r>
          </w:hyperlink>
        </w:p>
        <w:p w14:paraId="3B4DAE90" w14:textId="7FC76BAF"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59" w:history="1">
            <w:r w:rsidR="00A3618D" w:rsidRPr="00B03552">
              <w:rPr>
                <w:rStyle w:val="Lienhypertexte"/>
                <w:noProof/>
              </w:rPr>
              <w:t>3.4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Horizon temporel</w:t>
            </w:r>
            <w:r w:rsidR="00A3618D">
              <w:rPr>
                <w:noProof/>
                <w:webHidden/>
              </w:rPr>
              <w:tab/>
            </w:r>
            <w:r w:rsidR="00A3618D">
              <w:rPr>
                <w:noProof/>
                <w:webHidden/>
              </w:rPr>
              <w:fldChar w:fldCharType="begin"/>
            </w:r>
            <w:r w:rsidR="00A3618D">
              <w:rPr>
                <w:noProof/>
                <w:webHidden/>
              </w:rPr>
              <w:instrText xml:space="preserve"> PAGEREF _Toc177052059 \h </w:instrText>
            </w:r>
            <w:r w:rsidR="00A3618D">
              <w:rPr>
                <w:noProof/>
                <w:webHidden/>
              </w:rPr>
            </w:r>
            <w:r w:rsidR="00A3618D">
              <w:rPr>
                <w:noProof/>
                <w:webHidden/>
              </w:rPr>
              <w:fldChar w:fldCharType="separate"/>
            </w:r>
            <w:r w:rsidR="00A3618D">
              <w:rPr>
                <w:noProof/>
                <w:webHidden/>
              </w:rPr>
              <w:t>11</w:t>
            </w:r>
            <w:r w:rsidR="00A3618D">
              <w:rPr>
                <w:noProof/>
                <w:webHidden/>
              </w:rPr>
              <w:fldChar w:fldCharType="end"/>
            </w:r>
          </w:hyperlink>
        </w:p>
        <w:p w14:paraId="2E2E9398" w14:textId="3C9BDC46"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60" w:history="1">
            <w:r w:rsidR="00A3618D" w:rsidRPr="00B03552">
              <w:rPr>
                <w:rStyle w:val="Lienhypertexte"/>
                <w:noProof/>
              </w:rPr>
              <w:t>3.5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Thématique principale</w:t>
            </w:r>
            <w:r w:rsidR="00A3618D">
              <w:rPr>
                <w:noProof/>
                <w:webHidden/>
              </w:rPr>
              <w:tab/>
            </w:r>
            <w:r w:rsidR="00A3618D">
              <w:rPr>
                <w:noProof/>
                <w:webHidden/>
              </w:rPr>
              <w:fldChar w:fldCharType="begin"/>
            </w:r>
            <w:r w:rsidR="00A3618D">
              <w:rPr>
                <w:noProof/>
                <w:webHidden/>
              </w:rPr>
              <w:instrText xml:space="preserve"> PAGEREF _Toc177052060 \h </w:instrText>
            </w:r>
            <w:r w:rsidR="00A3618D">
              <w:rPr>
                <w:noProof/>
                <w:webHidden/>
              </w:rPr>
            </w:r>
            <w:r w:rsidR="00A3618D">
              <w:rPr>
                <w:noProof/>
                <w:webHidden/>
              </w:rPr>
              <w:fldChar w:fldCharType="separate"/>
            </w:r>
            <w:r w:rsidR="00A3618D">
              <w:rPr>
                <w:noProof/>
                <w:webHidden/>
              </w:rPr>
              <w:t>12</w:t>
            </w:r>
            <w:r w:rsidR="00A3618D">
              <w:rPr>
                <w:noProof/>
                <w:webHidden/>
              </w:rPr>
              <w:fldChar w:fldCharType="end"/>
            </w:r>
          </w:hyperlink>
        </w:p>
        <w:p w14:paraId="4BE0FA6C" w14:textId="57FBC36C"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61" w:history="1">
            <w:r w:rsidR="00A3618D" w:rsidRPr="00B03552">
              <w:rPr>
                <w:rStyle w:val="Lienhypertexte"/>
                <w:noProof/>
              </w:rPr>
              <w:t>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Méthodologie de vérification et limites</w:t>
            </w:r>
            <w:r w:rsidR="00A3618D">
              <w:rPr>
                <w:noProof/>
                <w:webHidden/>
              </w:rPr>
              <w:tab/>
            </w:r>
            <w:r w:rsidR="00A3618D">
              <w:rPr>
                <w:noProof/>
                <w:webHidden/>
              </w:rPr>
              <w:fldChar w:fldCharType="begin"/>
            </w:r>
            <w:r w:rsidR="00A3618D">
              <w:rPr>
                <w:noProof/>
                <w:webHidden/>
              </w:rPr>
              <w:instrText xml:space="preserve"> PAGEREF _Toc177052061 \h </w:instrText>
            </w:r>
            <w:r w:rsidR="00A3618D">
              <w:rPr>
                <w:noProof/>
                <w:webHidden/>
              </w:rPr>
            </w:r>
            <w:r w:rsidR="00A3618D">
              <w:rPr>
                <w:noProof/>
                <w:webHidden/>
              </w:rPr>
              <w:fldChar w:fldCharType="separate"/>
            </w:r>
            <w:r w:rsidR="00A3618D">
              <w:rPr>
                <w:noProof/>
                <w:webHidden/>
              </w:rPr>
              <w:t>13</w:t>
            </w:r>
            <w:r w:rsidR="00A3618D">
              <w:rPr>
                <w:noProof/>
                <w:webHidden/>
              </w:rPr>
              <w:fldChar w:fldCharType="end"/>
            </w:r>
          </w:hyperlink>
        </w:p>
        <w:p w14:paraId="10F3D0A9" w14:textId="75F273B3"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62" w:history="1">
            <w:r w:rsidR="00A3618D" w:rsidRPr="00B03552">
              <w:rPr>
                <w:rStyle w:val="Lienhypertexte"/>
                <w:noProof/>
              </w:rPr>
              <w:t>4.1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Méthodes de vérification</w:t>
            </w:r>
            <w:r w:rsidR="00A3618D">
              <w:rPr>
                <w:noProof/>
                <w:webHidden/>
              </w:rPr>
              <w:tab/>
            </w:r>
            <w:r w:rsidR="00A3618D">
              <w:rPr>
                <w:noProof/>
                <w:webHidden/>
              </w:rPr>
              <w:fldChar w:fldCharType="begin"/>
            </w:r>
            <w:r w:rsidR="00A3618D">
              <w:rPr>
                <w:noProof/>
                <w:webHidden/>
              </w:rPr>
              <w:instrText xml:space="preserve"> PAGEREF _Toc177052062 \h </w:instrText>
            </w:r>
            <w:r w:rsidR="00A3618D">
              <w:rPr>
                <w:noProof/>
                <w:webHidden/>
              </w:rPr>
            </w:r>
            <w:r w:rsidR="00A3618D">
              <w:rPr>
                <w:noProof/>
                <w:webHidden/>
              </w:rPr>
              <w:fldChar w:fldCharType="separate"/>
            </w:r>
            <w:r w:rsidR="00A3618D">
              <w:rPr>
                <w:noProof/>
                <w:webHidden/>
              </w:rPr>
              <w:t>13</w:t>
            </w:r>
            <w:r w:rsidR="00A3618D">
              <w:rPr>
                <w:noProof/>
                <w:webHidden/>
              </w:rPr>
              <w:fldChar w:fldCharType="end"/>
            </w:r>
          </w:hyperlink>
        </w:p>
        <w:p w14:paraId="7498AB8C" w14:textId="26E072ED"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63" w:history="1">
            <w:r w:rsidR="00A3618D" w:rsidRPr="00B03552">
              <w:rPr>
                <w:rStyle w:val="Lienhypertexte"/>
                <w:noProof/>
              </w:rPr>
              <w:t>4.1.1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vérifications internes</w:t>
            </w:r>
            <w:r w:rsidR="00A3618D">
              <w:rPr>
                <w:noProof/>
                <w:webHidden/>
              </w:rPr>
              <w:tab/>
            </w:r>
            <w:r w:rsidR="00A3618D">
              <w:rPr>
                <w:noProof/>
                <w:webHidden/>
              </w:rPr>
              <w:fldChar w:fldCharType="begin"/>
            </w:r>
            <w:r w:rsidR="00A3618D">
              <w:rPr>
                <w:noProof/>
                <w:webHidden/>
              </w:rPr>
              <w:instrText xml:space="preserve"> PAGEREF _Toc177052063 \h </w:instrText>
            </w:r>
            <w:r w:rsidR="00A3618D">
              <w:rPr>
                <w:noProof/>
                <w:webHidden/>
              </w:rPr>
            </w:r>
            <w:r w:rsidR="00A3618D">
              <w:rPr>
                <w:noProof/>
                <w:webHidden/>
              </w:rPr>
              <w:fldChar w:fldCharType="separate"/>
            </w:r>
            <w:r w:rsidR="00A3618D">
              <w:rPr>
                <w:noProof/>
                <w:webHidden/>
              </w:rPr>
              <w:t>13</w:t>
            </w:r>
            <w:r w:rsidR="00A3618D">
              <w:rPr>
                <w:noProof/>
                <w:webHidden/>
              </w:rPr>
              <w:fldChar w:fldCharType="end"/>
            </w:r>
          </w:hyperlink>
        </w:p>
        <w:p w14:paraId="1FFA16FE" w14:textId="7EE265B9"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64" w:history="1">
            <w:r w:rsidR="00A3618D" w:rsidRPr="00B03552">
              <w:rPr>
                <w:rStyle w:val="Lienhypertexte"/>
                <w:noProof/>
              </w:rPr>
              <w:t>4.1.2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vérifications à partir de sources externes</w:t>
            </w:r>
            <w:r w:rsidR="00A3618D">
              <w:rPr>
                <w:noProof/>
                <w:webHidden/>
              </w:rPr>
              <w:tab/>
            </w:r>
            <w:r w:rsidR="00A3618D">
              <w:rPr>
                <w:noProof/>
                <w:webHidden/>
              </w:rPr>
              <w:fldChar w:fldCharType="begin"/>
            </w:r>
            <w:r w:rsidR="00A3618D">
              <w:rPr>
                <w:noProof/>
                <w:webHidden/>
              </w:rPr>
              <w:instrText xml:space="preserve"> PAGEREF _Toc177052064 \h </w:instrText>
            </w:r>
            <w:r w:rsidR="00A3618D">
              <w:rPr>
                <w:noProof/>
                <w:webHidden/>
              </w:rPr>
            </w:r>
            <w:r w:rsidR="00A3618D">
              <w:rPr>
                <w:noProof/>
                <w:webHidden/>
              </w:rPr>
              <w:fldChar w:fldCharType="separate"/>
            </w:r>
            <w:r w:rsidR="00A3618D">
              <w:rPr>
                <w:noProof/>
                <w:webHidden/>
              </w:rPr>
              <w:t>14</w:t>
            </w:r>
            <w:r w:rsidR="00A3618D">
              <w:rPr>
                <w:noProof/>
                <w:webHidden/>
              </w:rPr>
              <w:fldChar w:fldCharType="end"/>
            </w:r>
          </w:hyperlink>
        </w:p>
        <w:p w14:paraId="5850CEEF" w14:textId="597A5441"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65" w:history="1">
            <w:r w:rsidR="00A3618D" w:rsidRPr="00B03552">
              <w:rPr>
                <w:rStyle w:val="Lienhypertexte"/>
                <w:noProof/>
              </w:rPr>
              <w:t>4.1.3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vérifications à dires d’experts</w:t>
            </w:r>
            <w:r w:rsidR="00A3618D">
              <w:rPr>
                <w:noProof/>
                <w:webHidden/>
              </w:rPr>
              <w:tab/>
            </w:r>
            <w:r w:rsidR="00A3618D">
              <w:rPr>
                <w:noProof/>
                <w:webHidden/>
              </w:rPr>
              <w:fldChar w:fldCharType="begin"/>
            </w:r>
            <w:r w:rsidR="00A3618D">
              <w:rPr>
                <w:noProof/>
                <w:webHidden/>
              </w:rPr>
              <w:instrText xml:space="preserve"> PAGEREF _Toc177052065 \h </w:instrText>
            </w:r>
            <w:r w:rsidR="00A3618D">
              <w:rPr>
                <w:noProof/>
                <w:webHidden/>
              </w:rPr>
            </w:r>
            <w:r w:rsidR="00A3618D">
              <w:rPr>
                <w:noProof/>
                <w:webHidden/>
              </w:rPr>
              <w:fldChar w:fldCharType="separate"/>
            </w:r>
            <w:r w:rsidR="00A3618D">
              <w:rPr>
                <w:noProof/>
                <w:webHidden/>
              </w:rPr>
              <w:t>15</w:t>
            </w:r>
            <w:r w:rsidR="00A3618D">
              <w:rPr>
                <w:noProof/>
                <w:webHidden/>
              </w:rPr>
              <w:fldChar w:fldCharType="end"/>
            </w:r>
          </w:hyperlink>
        </w:p>
        <w:p w14:paraId="2F1F9DA9" w14:textId="4FE6483C"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66" w:history="1">
            <w:r w:rsidR="00A3618D" w:rsidRPr="00B03552">
              <w:rPr>
                <w:rStyle w:val="Lienhypertexte"/>
                <w:noProof/>
              </w:rPr>
              <w:t>4.2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Limites générales et dépenses manquantes</w:t>
            </w:r>
            <w:r w:rsidR="00A3618D">
              <w:rPr>
                <w:noProof/>
                <w:webHidden/>
              </w:rPr>
              <w:tab/>
            </w:r>
            <w:r w:rsidR="00A3618D">
              <w:rPr>
                <w:noProof/>
                <w:webHidden/>
              </w:rPr>
              <w:fldChar w:fldCharType="begin"/>
            </w:r>
            <w:r w:rsidR="00A3618D">
              <w:rPr>
                <w:noProof/>
                <w:webHidden/>
              </w:rPr>
              <w:instrText xml:space="preserve"> PAGEREF _Toc177052066 \h </w:instrText>
            </w:r>
            <w:r w:rsidR="00A3618D">
              <w:rPr>
                <w:noProof/>
                <w:webHidden/>
              </w:rPr>
            </w:r>
            <w:r w:rsidR="00A3618D">
              <w:rPr>
                <w:noProof/>
                <w:webHidden/>
              </w:rPr>
              <w:fldChar w:fldCharType="separate"/>
            </w:r>
            <w:r w:rsidR="00A3618D">
              <w:rPr>
                <w:noProof/>
                <w:webHidden/>
              </w:rPr>
              <w:t>15</w:t>
            </w:r>
            <w:r w:rsidR="00A3618D">
              <w:rPr>
                <w:noProof/>
                <w:webHidden/>
              </w:rPr>
              <w:fldChar w:fldCharType="end"/>
            </w:r>
          </w:hyperlink>
        </w:p>
        <w:p w14:paraId="6AF03961" w14:textId="69AF2C39"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67" w:history="1">
            <w:r w:rsidR="00A3618D" w:rsidRPr="00B03552">
              <w:rPr>
                <w:rStyle w:val="Lienhypertexte"/>
                <w:noProof/>
              </w:rPr>
              <w:t>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Liste des améliorations / ajouts à moyen terme</w:t>
            </w:r>
            <w:r w:rsidR="00A3618D">
              <w:rPr>
                <w:noProof/>
                <w:webHidden/>
              </w:rPr>
              <w:tab/>
            </w:r>
            <w:r w:rsidR="00A3618D">
              <w:rPr>
                <w:noProof/>
                <w:webHidden/>
              </w:rPr>
              <w:fldChar w:fldCharType="begin"/>
            </w:r>
            <w:r w:rsidR="00A3618D">
              <w:rPr>
                <w:noProof/>
                <w:webHidden/>
              </w:rPr>
              <w:instrText xml:space="preserve"> PAGEREF _Toc177052067 \h </w:instrText>
            </w:r>
            <w:r w:rsidR="00A3618D">
              <w:rPr>
                <w:noProof/>
                <w:webHidden/>
              </w:rPr>
            </w:r>
            <w:r w:rsidR="00A3618D">
              <w:rPr>
                <w:noProof/>
                <w:webHidden/>
              </w:rPr>
              <w:fldChar w:fldCharType="separate"/>
            </w:r>
            <w:r w:rsidR="00A3618D">
              <w:rPr>
                <w:noProof/>
                <w:webHidden/>
              </w:rPr>
              <w:t>15</w:t>
            </w:r>
            <w:r w:rsidR="00A3618D">
              <w:rPr>
                <w:noProof/>
                <w:webHidden/>
              </w:rPr>
              <w:fldChar w:fldCharType="end"/>
            </w:r>
          </w:hyperlink>
        </w:p>
        <w:p w14:paraId="1CD6280A" w14:textId="7C88E090"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68" w:history="1">
            <w:r w:rsidR="00A3618D" w:rsidRPr="00B03552">
              <w:rPr>
                <w:rStyle w:val="Lienhypertexte"/>
                <w:noProof/>
              </w:rPr>
              <w:t>5.1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Compléter les années manquantes</w:t>
            </w:r>
            <w:r w:rsidR="00A3618D">
              <w:rPr>
                <w:noProof/>
                <w:webHidden/>
              </w:rPr>
              <w:tab/>
            </w:r>
            <w:r w:rsidR="00A3618D">
              <w:rPr>
                <w:noProof/>
                <w:webHidden/>
              </w:rPr>
              <w:fldChar w:fldCharType="begin"/>
            </w:r>
            <w:r w:rsidR="00A3618D">
              <w:rPr>
                <w:noProof/>
                <w:webHidden/>
              </w:rPr>
              <w:instrText xml:space="preserve"> PAGEREF _Toc177052068 \h </w:instrText>
            </w:r>
            <w:r w:rsidR="00A3618D">
              <w:rPr>
                <w:noProof/>
                <w:webHidden/>
              </w:rPr>
            </w:r>
            <w:r w:rsidR="00A3618D">
              <w:rPr>
                <w:noProof/>
                <w:webHidden/>
              </w:rPr>
              <w:fldChar w:fldCharType="separate"/>
            </w:r>
            <w:r w:rsidR="00A3618D">
              <w:rPr>
                <w:noProof/>
                <w:webHidden/>
              </w:rPr>
              <w:t>15</w:t>
            </w:r>
            <w:r w:rsidR="00A3618D">
              <w:rPr>
                <w:noProof/>
                <w:webHidden/>
              </w:rPr>
              <w:fldChar w:fldCharType="end"/>
            </w:r>
          </w:hyperlink>
        </w:p>
        <w:p w14:paraId="5ECACD64" w14:textId="05F5333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69" w:history="1">
            <w:r w:rsidR="00A3618D" w:rsidRPr="00B03552">
              <w:rPr>
                <w:rStyle w:val="Lienhypertexte"/>
                <w:noProof/>
              </w:rPr>
              <w:t>5.2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Améliorations méthodologiques</w:t>
            </w:r>
            <w:r w:rsidR="00A3618D">
              <w:rPr>
                <w:noProof/>
                <w:webHidden/>
              </w:rPr>
              <w:tab/>
            </w:r>
            <w:r w:rsidR="00A3618D">
              <w:rPr>
                <w:noProof/>
                <w:webHidden/>
              </w:rPr>
              <w:fldChar w:fldCharType="begin"/>
            </w:r>
            <w:r w:rsidR="00A3618D">
              <w:rPr>
                <w:noProof/>
                <w:webHidden/>
              </w:rPr>
              <w:instrText xml:space="preserve"> PAGEREF _Toc177052069 \h </w:instrText>
            </w:r>
            <w:r w:rsidR="00A3618D">
              <w:rPr>
                <w:noProof/>
                <w:webHidden/>
              </w:rPr>
            </w:r>
            <w:r w:rsidR="00A3618D">
              <w:rPr>
                <w:noProof/>
                <w:webHidden/>
              </w:rPr>
              <w:fldChar w:fldCharType="separate"/>
            </w:r>
            <w:r w:rsidR="00A3618D">
              <w:rPr>
                <w:noProof/>
                <w:webHidden/>
              </w:rPr>
              <w:t>15</w:t>
            </w:r>
            <w:r w:rsidR="00A3618D">
              <w:rPr>
                <w:noProof/>
                <w:webHidden/>
              </w:rPr>
              <w:fldChar w:fldCharType="end"/>
            </w:r>
          </w:hyperlink>
        </w:p>
        <w:p w14:paraId="2536534A" w14:textId="6D59063A"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0" w:history="1">
            <w:r w:rsidR="00A3618D" w:rsidRPr="00B03552">
              <w:rPr>
                <w:rStyle w:val="Lienhypertexte"/>
                <w:noProof/>
              </w:rPr>
              <w:t>5.3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Ajout de dépenses manquantes</w:t>
            </w:r>
            <w:r w:rsidR="00A3618D">
              <w:rPr>
                <w:noProof/>
                <w:webHidden/>
              </w:rPr>
              <w:tab/>
            </w:r>
            <w:r w:rsidR="00A3618D">
              <w:rPr>
                <w:noProof/>
                <w:webHidden/>
              </w:rPr>
              <w:fldChar w:fldCharType="begin"/>
            </w:r>
            <w:r w:rsidR="00A3618D">
              <w:rPr>
                <w:noProof/>
                <w:webHidden/>
              </w:rPr>
              <w:instrText xml:space="preserve"> PAGEREF _Toc177052070 \h </w:instrText>
            </w:r>
            <w:r w:rsidR="00A3618D">
              <w:rPr>
                <w:noProof/>
                <w:webHidden/>
              </w:rPr>
            </w:r>
            <w:r w:rsidR="00A3618D">
              <w:rPr>
                <w:noProof/>
                <w:webHidden/>
              </w:rPr>
              <w:fldChar w:fldCharType="separate"/>
            </w:r>
            <w:r w:rsidR="00A3618D">
              <w:rPr>
                <w:noProof/>
                <w:webHidden/>
              </w:rPr>
              <w:t>16</w:t>
            </w:r>
            <w:r w:rsidR="00A3618D">
              <w:rPr>
                <w:noProof/>
                <w:webHidden/>
              </w:rPr>
              <w:fldChar w:fldCharType="end"/>
            </w:r>
          </w:hyperlink>
        </w:p>
        <w:p w14:paraId="30260F2E" w14:textId="663E11DF"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71" w:history="1">
            <w:r w:rsidR="00A3618D" w:rsidRPr="00B03552">
              <w:rPr>
                <w:rStyle w:val="Lienhypertexte"/>
                <w:noProof/>
              </w:rPr>
              <w:t>6</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Exonérations sociales</w:t>
            </w:r>
            <w:r w:rsidR="00A3618D">
              <w:rPr>
                <w:noProof/>
                <w:webHidden/>
              </w:rPr>
              <w:tab/>
            </w:r>
            <w:r w:rsidR="00A3618D">
              <w:rPr>
                <w:noProof/>
                <w:webHidden/>
              </w:rPr>
              <w:fldChar w:fldCharType="begin"/>
            </w:r>
            <w:r w:rsidR="00A3618D">
              <w:rPr>
                <w:noProof/>
                <w:webHidden/>
              </w:rPr>
              <w:instrText xml:space="preserve"> PAGEREF _Toc177052071 \h </w:instrText>
            </w:r>
            <w:r w:rsidR="00A3618D">
              <w:rPr>
                <w:noProof/>
                <w:webHidden/>
              </w:rPr>
            </w:r>
            <w:r w:rsidR="00A3618D">
              <w:rPr>
                <w:noProof/>
                <w:webHidden/>
              </w:rPr>
              <w:fldChar w:fldCharType="separate"/>
            </w:r>
            <w:r w:rsidR="00A3618D">
              <w:rPr>
                <w:noProof/>
                <w:webHidden/>
              </w:rPr>
              <w:t>16</w:t>
            </w:r>
            <w:r w:rsidR="00A3618D">
              <w:rPr>
                <w:noProof/>
                <w:webHidden/>
              </w:rPr>
              <w:fldChar w:fldCharType="end"/>
            </w:r>
          </w:hyperlink>
        </w:p>
        <w:p w14:paraId="3F21349F" w14:textId="7934FC85"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2" w:history="1">
            <w:r w:rsidR="00A3618D" w:rsidRPr="00B03552">
              <w:rPr>
                <w:rStyle w:val="Lienhypertexte"/>
                <w:noProof/>
              </w:rPr>
              <w:t>6.1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_Toc177052072 \h </w:instrText>
            </w:r>
            <w:r w:rsidR="00A3618D">
              <w:rPr>
                <w:noProof/>
                <w:webHidden/>
              </w:rPr>
            </w:r>
            <w:r w:rsidR="00A3618D">
              <w:rPr>
                <w:noProof/>
                <w:webHidden/>
              </w:rPr>
              <w:fldChar w:fldCharType="separate"/>
            </w:r>
            <w:r w:rsidR="00A3618D">
              <w:rPr>
                <w:noProof/>
                <w:webHidden/>
              </w:rPr>
              <w:t>16</w:t>
            </w:r>
            <w:r w:rsidR="00A3618D">
              <w:rPr>
                <w:noProof/>
                <w:webHidden/>
              </w:rPr>
              <w:fldChar w:fldCharType="end"/>
            </w:r>
          </w:hyperlink>
        </w:p>
        <w:p w14:paraId="77EC9A97" w14:textId="0F5FF259"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3" w:history="1">
            <w:r w:rsidR="00A3618D" w:rsidRPr="00B03552">
              <w:rPr>
                <w:rStyle w:val="Lienhypertexte"/>
                <w:noProof/>
              </w:rPr>
              <w:t>6.2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Compensation des exonérations par le budget de l’État</w:t>
            </w:r>
            <w:r w:rsidR="00A3618D">
              <w:rPr>
                <w:noProof/>
                <w:webHidden/>
              </w:rPr>
              <w:tab/>
            </w:r>
            <w:r w:rsidR="00A3618D">
              <w:rPr>
                <w:noProof/>
                <w:webHidden/>
              </w:rPr>
              <w:fldChar w:fldCharType="begin"/>
            </w:r>
            <w:r w:rsidR="00A3618D">
              <w:rPr>
                <w:noProof/>
                <w:webHidden/>
              </w:rPr>
              <w:instrText xml:space="preserve"> PAGEREF _Toc177052073 \h </w:instrText>
            </w:r>
            <w:r w:rsidR="00A3618D">
              <w:rPr>
                <w:noProof/>
                <w:webHidden/>
              </w:rPr>
            </w:r>
            <w:r w:rsidR="00A3618D">
              <w:rPr>
                <w:noProof/>
                <w:webHidden/>
              </w:rPr>
              <w:fldChar w:fldCharType="separate"/>
            </w:r>
            <w:r w:rsidR="00A3618D">
              <w:rPr>
                <w:noProof/>
                <w:webHidden/>
              </w:rPr>
              <w:t>17</w:t>
            </w:r>
            <w:r w:rsidR="00A3618D">
              <w:rPr>
                <w:noProof/>
                <w:webHidden/>
              </w:rPr>
              <w:fldChar w:fldCharType="end"/>
            </w:r>
          </w:hyperlink>
        </w:p>
        <w:p w14:paraId="4AF38319" w14:textId="4B8D321D"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74" w:history="1">
            <w:r w:rsidR="00A3618D" w:rsidRPr="00B03552">
              <w:rPr>
                <w:rStyle w:val="Lienhypertexte"/>
                <w:noProof/>
              </w:rPr>
              <w:t>6.2.1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Principe de compensation</w:t>
            </w:r>
            <w:r w:rsidR="00A3618D">
              <w:rPr>
                <w:noProof/>
                <w:webHidden/>
              </w:rPr>
              <w:tab/>
            </w:r>
            <w:r w:rsidR="00A3618D">
              <w:rPr>
                <w:noProof/>
                <w:webHidden/>
              </w:rPr>
              <w:fldChar w:fldCharType="begin"/>
            </w:r>
            <w:r w:rsidR="00A3618D">
              <w:rPr>
                <w:noProof/>
                <w:webHidden/>
              </w:rPr>
              <w:instrText xml:space="preserve"> PAGEREF _Toc177052074 \h </w:instrText>
            </w:r>
            <w:r w:rsidR="00A3618D">
              <w:rPr>
                <w:noProof/>
                <w:webHidden/>
              </w:rPr>
            </w:r>
            <w:r w:rsidR="00A3618D">
              <w:rPr>
                <w:noProof/>
                <w:webHidden/>
              </w:rPr>
              <w:fldChar w:fldCharType="separate"/>
            </w:r>
            <w:r w:rsidR="00A3618D">
              <w:rPr>
                <w:noProof/>
                <w:webHidden/>
              </w:rPr>
              <w:t>17</w:t>
            </w:r>
            <w:r w:rsidR="00A3618D">
              <w:rPr>
                <w:noProof/>
                <w:webHidden/>
              </w:rPr>
              <w:fldChar w:fldCharType="end"/>
            </w:r>
          </w:hyperlink>
        </w:p>
        <w:p w14:paraId="7AF933D0" w14:textId="36A7B687"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75" w:history="1">
            <w:r w:rsidR="00A3618D" w:rsidRPr="00B03552">
              <w:rPr>
                <w:rStyle w:val="Lienhypertexte"/>
                <w:noProof/>
              </w:rPr>
              <w:t>6.2.2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Compensation de l’exonération TO/DE</w:t>
            </w:r>
            <w:r w:rsidR="00A3618D">
              <w:rPr>
                <w:noProof/>
                <w:webHidden/>
              </w:rPr>
              <w:tab/>
            </w:r>
            <w:r w:rsidR="00A3618D">
              <w:rPr>
                <w:noProof/>
                <w:webHidden/>
              </w:rPr>
              <w:fldChar w:fldCharType="begin"/>
            </w:r>
            <w:r w:rsidR="00A3618D">
              <w:rPr>
                <w:noProof/>
                <w:webHidden/>
              </w:rPr>
              <w:instrText xml:space="preserve"> PAGEREF _Toc177052075 \h </w:instrText>
            </w:r>
            <w:r w:rsidR="00A3618D">
              <w:rPr>
                <w:noProof/>
                <w:webHidden/>
              </w:rPr>
            </w:r>
            <w:r w:rsidR="00A3618D">
              <w:rPr>
                <w:noProof/>
                <w:webHidden/>
              </w:rPr>
              <w:fldChar w:fldCharType="separate"/>
            </w:r>
            <w:r w:rsidR="00A3618D">
              <w:rPr>
                <w:noProof/>
                <w:webHidden/>
              </w:rPr>
              <w:t>17</w:t>
            </w:r>
            <w:r w:rsidR="00A3618D">
              <w:rPr>
                <w:noProof/>
                <w:webHidden/>
              </w:rPr>
              <w:fldChar w:fldCharType="end"/>
            </w:r>
          </w:hyperlink>
        </w:p>
        <w:p w14:paraId="4545BBAE" w14:textId="5B0FAD02"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6" w:history="1">
            <w:r w:rsidR="00A3618D" w:rsidRPr="00B03552">
              <w:rPr>
                <w:rStyle w:val="Lienhypertexte"/>
                <w:noProof/>
              </w:rPr>
              <w:t>6.3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Catégorisation supplémentaire</w:t>
            </w:r>
            <w:r w:rsidR="00A3618D">
              <w:rPr>
                <w:noProof/>
                <w:webHidden/>
              </w:rPr>
              <w:tab/>
            </w:r>
            <w:r w:rsidR="00A3618D">
              <w:rPr>
                <w:noProof/>
                <w:webHidden/>
              </w:rPr>
              <w:fldChar w:fldCharType="begin"/>
            </w:r>
            <w:r w:rsidR="00A3618D">
              <w:rPr>
                <w:noProof/>
                <w:webHidden/>
              </w:rPr>
              <w:instrText xml:space="preserve"> PAGEREF _Toc177052076 \h </w:instrText>
            </w:r>
            <w:r w:rsidR="00A3618D">
              <w:rPr>
                <w:noProof/>
                <w:webHidden/>
              </w:rPr>
            </w:r>
            <w:r w:rsidR="00A3618D">
              <w:rPr>
                <w:noProof/>
                <w:webHidden/>
              </w:rPr>
              <w:fldChar w:fldCharType="separate"/>
            </w:r>
            <w:r w:rsidR="00A3618D">
              <w:rPr>
                <w:noProof/>
                <w:webHidden/>
              </w:rPr>
              <w:t>18</w:t>
            </w:r>
            <w:r w:rsidR="00A3618D">
              <w:rPr>
                <w:noProof/>
                <w:webHidden/>
              </w:rPr>
              <w:fldChar w:fldCharType="end"/>
            </w:r>
          </w:hyperlink>
        </w:p>
        <w:p w14:paraId="1F3DEBA3" w14:textId="72BEE334"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7" w:history="1">
            <w:r w:rsidR="00A3618D" w:rsidRPr="00B03552">
              <w:rPr>
                <w:rStyle w:val="Lienhypertexte"/>
                <w:noProof/>
              </w:rPr>
              <w:t>6.4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Bénéficiaires</w:t>
            </w:r>
            <w:r w:rsidR="00A3618D">
              <w:rPr>
                <w:noProof/>
                <w:webHidden/>
              </w:rPr>
              <w:tab/>
            </w:r>
            <w:r w:rsidR="00A3618D">
              <w:rPr>
                <w:noProof/>
                <w:webHidden/>
              </w:rPr>
              <w:fldChar w:fldCharType="begin"/>
            </w:r>
            <w:r w:rsidR="00A3618D">
              <w:rPr>
                <w:noProof/>
                <w:webHidden/>
              </w:rPr>
              <w:instrText xml:space="preserve"> PAGEREF _Toc177052077 \h </w:instrText>
            </w:r>
            <w:r w:rsidR="00A3618D">
              <w:rPr>
                <w:noProof/>
                <w:webHidden/>
              </w:rPr>
            </w:r>
            <w:r w:rsidR="00A3618D">
              <w:rPr>
                <w:noProof/>
                <w:webHidden/>
              </w:rPr>
              <w:fldChar w:fldCharType="separate"/>
            </w:r>
            <w:r w:rsidR="00A3618D">
              <w:rPr>
                <w:noProof/>
                <w:webHidden/>
              </w:rPr>
              <w:t>20</w:t>
            </w:r>
            <w:r w:rsidR="00A3618D">
              <w:rPr>
                <w:noProof/>
                <w:webHidden/>
              </w:rPr>
              <w:fldChar w:fldCharType="end"/>
            </w:r>
          </w:hyperlink>
        </w:p>
        <w:p w14:paraId="2585957F" w14:textId="2982CEC0"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78" w:history="1">
            <w:r w:rsidR="00A3618D" w:rsidRPr="00B03552">
              <w:rPr>
                <w:rStyle w:val="Lienhypertexte"/>
                <w:noProof/>
              </w:rPr>
              <w:t>6.5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_Toc177052078 \h </w:instrText>
            </w:r>
            <w:r w:rsidR="00A3618D">
              <w:rPr>
                <w:noProof/>
                <w:webHidden/>
              </w:rPr>
            </w:r>
            <w:r w:rsidR="00A3618D">
              <w:rPr>
                <w:noProof/>
                <w:webHidden/>
              </w:rPr>
              <w:fldChar w:fldCharType="separate"/>
            </w:r>
            <w:r w:rsidR="00A3618D">
              <w:rPr>
                <w:noProof/>
                <w:webHidden/>
              </w:rPr>
              <w:t>20</w:t>
            </w:r>
            <w:r w:rsidR="00A3618D">
              <w:rPr>
                <w:noProof/>
                <w:webHidden/>
              </w:rPr>
              <w:fldChar w:fldCharType="end"/>
            </w:r>
          </w:hyperlink>
        </w:p>
        <w:p w14:paraId="10C4F558" w14:textId="6351C8E3"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79" w:history="1">
            <w:r w:rsidR="00A3618D" w:rsidRPr="00B03552">
              <w:rPr>
                <w:rStyle w:val="Lienhypertexte"/>
                <w:noProof/>
              </w:rPr>
              <w:t>7</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européennes de la PAC</w:t>
            </w:r>
            <w:r w:rsidR="00A3618D">
              <w:rPr>
                <w:noProof/>
                <w:webHidden/>
              </w:rPr>
              <w:tab/>
            </w:r>
            <w:r w:rsidR="00A3618D">
              <w:rPr>
                <w:noProof/>
                <w:webHidden/>
              </w:rPr>
              <w:fldChar w:fldCharType="begin"/>
            </w:r>
            <w:r w:rsidR="00A3618D">
              <w:rPr>
                <w:noProof/>
                <w:webHidden/>
              </w:rPr>
              <w:instrText xml:space="preserve"> PAGEREF _Toc177052079 \h </w:instrText>
            </w:r>
            <w:r w:rsidR="00A3618D">
              <w:rPr>
                <w:noProof/>
                <w:webHidden/>
              </w:rPr>
            </w:r>
            <w:r w:rsidR="00A3618D">
              <w:rPr>
                <w:noProof/>
                <w:webHidden/>
              </w:rPr>
              <w:fldChar w:fldCharType="separate"/>
            </w:r>
            <w:r w:rsidR="00A3618D">
              <w:rPr>
                <w:noProof/>
                <w:webHidden/>
              </w:rPr>
              <w:t>20</w:t>
            </w:r>
            <w:r w:rsidR="00A3618D">
              <w:rPr>
                <w:noProof/>
                <w:webHidden/>
              </w:rPr>
              <w:fldChar w:fldCharType="end"/>
            </w:r>
          </w:hyperlink>
        </w:p>
        <w:p w14:paraId="6F04DA07" w14:textId="22EA2652"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0" w:history="1">
            <w:r w:rsidR="00A3618D" w:rsidRPr="00B03552">
              <w:rPr>
                <w:rStyle w:val="Lienhypertexte"/>
                <w:noProof/>
              </w:rPr>
              <w:t>7.1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_Toc177052080 \h </w:instrText>
            </w:r>
            <w:r w:rsidR="00A3618D">
              <w:rPr>
                <w:noProof/>
                <w:webHidden/>
              </w:rPr>
            </w:r>
            <w:r w:rsidR="00A3618D">
              <w:rPr>
                <w:noProof/>
                <w:webHidden/>
              </w:rPr>
              <w:fldChar w:fldCharType="separate"/>
            </w:r>
            <w:r w:rsidR="00A3618D">
              <w:rPr>
                <w:noProof/>
                <w:webHidden/>
              </w:rPr>
              <w:t>21</w:t>
            </w:r>
            <w:r w:rsidR="00A3618D">
              <w:rPr>
                <w:noProof/>
                <w:webHidden/>
              </w:rPr>
              <w:fldChar w:fldCharType="end"/>
            </w:r>
          </w:hyperlink>
        </w:p>
        <w:p w14:paraId="282D2D10" w14:textId="58E8B529"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1" w:history="1">
            <w:r w:rsidR="00A3618D" w:rsidRPr="00B03552">
              <w:rPr>
                <w:rStyle w:val="Lienhypertexte"/>
                <w:noProof/>
              </w:rPr>
              <w:t>7.2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Hypothèses principales</w:t>
            </w:r>
            <w:r w:rsidR="00A3618D">
              <w:rPr>
                <w:noProof/>
                <w:webHidden/>
              </w:rPr>
              <w:tab/>
            </w:r>
            <w:r w:rsidR="00A3618D">
              <w:rPr>
                <w:noProof/>
                <w:webHidden/>
              </w:rPr>
              <w:fldChar w:fldCharType="begin"/>
            </w:r>
            <w:r w:rsidR="00A3618D">
              <w:rPr>
                <w:noProof/>
                <w:webHidden/>
              </w:rPr>
              <w:instrText xml:space="preserve"> PAGEREF _Toc177052081 \h </w:instrText>
            </w:r>
            <w:r w:rsidR="00A3618D">
              <w:rPr>
                <w:noProof/>
                <w:webHidden/>
              </w:rPr>
            </w:r>
            <w:r w:rsidR="00A3618D">
              <w:rPr>
                <w:noProof/>
                <w:webHidden/>
              </w:rPr>
              <w:fldChar w:fldCharType="separate"/>
            </w:r>
            <w:r w:rsidR="00A3618D">
              <w:rPr>
                <w:noProof/>
                <w:webHidden/>
              </w:rPr>
              <w:t>21</w:t>
            </w:r>
            <w:r w:rsidR="00A3618D">
              <w:rPr>
                <w:noProof/>
                <w:webHidden/>
              </w:rPr>
              <w:fldChar w:fldCharType="end"/>
            </w:r>
          </w:hyperlink>
        </w:p>
        <w:p w14:paraId="682695A7" w14:textId="16F9C9E4"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82" w:history="1">
            <w:r w:rsidR="00A3618D" w:rsidRPr="00B03552">
              <w:rPr>
                <w:rStyle w:val="Lienhypertexte"/>
                <w:noProof/>
              </w:rPr>
              <w:t>7.2.1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Horizon temporel</w:t>
            </w:r>
            <w:r w:rsidR="00A3618D">
              <w:rPr>
                <w:noProof/>
                <w:webHidden/>
              </w:rPr>
              <w:tab/>
            </w:r>
            <w:r w:rsidR="00A3618D">
              <w:rPr>
                <w:noProof/>
                <w:webHidden/>
              </w:rPr>
              <w:fldChar w:fldCharType="begin"/>
            </w:r>
            <w:r w:rsidR="00A3618D">
              <w:rPr>
                <w:noProof/>
                <w:webHidden/>
              </w:rPr>
              <w:instrText xml:space="preserve"> PAGEREF _Toc177052082 \h </w:instrText>
            </w:r>
            <w:r w:rsidR="00A3618D">
              <w:rPr>
                <w:noProof/>
                <w:webHidden/>
              </w:rPr>
            </w:r>
            <w:r w:rsidR="00A3618D">
              <w:rPr>
                <w:noProof/>
                <w:webHidden/>
              </w:rPr>
              <w:fldChar w:fldCharType="separate"/>
            </w:r>
            <w:r w:rsidR="00A3618D">
              <w:rPr>
                <w:noProof/>
                <w:webHidden/>
              </w:rPr>
              <w:t>21</w:t>
            </w:r>
            <w:r w:rsidR="00A3618D">
              <w:rPr>
                <w:noProof/>
                <w:webHidden/>
              </w:rPr>
              <w:fldChar w:fldCharType="end"/>
            </w:r>
          </w:hyperlink>
        </w:p>
        <w:p w14:paraId="2B481584" w14:textId="52CBC61C"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83" w:history="1">
            <w:r w:rsidR="00A3618D" w:rsidRPr="00B03552">
              <w:rPr>
                <w:rStyle w:val="Lienhypertexte"/>
                <w:noProof/>
              </w:rPr>
              <w:t>7.2.2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Bénéficiaires</w:t>
            </w:r>
            <w:r w:rsidR="00A3618D">
              <w:rPr>
                <w:noProof/>
                <w:webHidden/>
              </w:rPr>
              <w:tab/>
            </w:r>
            <w:r w:rsidR="00A3618D">
              <w:rPr>
                <w:noProof/>
                <w:webHidden/>
              </w:rPr>
              <w:fldChar w:fldCharType="begin"/>
            </w:r>
            <w:r w:rsidR="00A3618D">
              <w:rPr>
                <w:noProof/>
                <w:webHidden/>
              </w:rPr>
              <w:instrText xml:space="preserve"> PAGEREF _Toc177052083 \h </w:instrText>
            </w:r>
            <w:r w:rsidR="00A3618D">
              <w:rPr>
                <w:noProof/>
                <w:webHidden/>
              </w:rPr>
            </w:r>
            <w:r w:rsidR="00A3618D">
              <w:rPr>
                <w:noProof/>
                <w:webHidden/>
              </w:rPr>
              <w:fldChar w:fldCharType="separate"/>
            </w:r>
            <w:r w:rsidR="00A3618D">
              <w:rPr>
                <w:noProof/>
                <w:webHidden/>
              </w:rPr>
              <w:t>21</w:t>
            </w:r>
            <w:r w:rsidR="00A3618D">
              <w:rPr>
                <w:noProof/>
                <w:webHidden/>
              </w:rPr>
              <w:fldChar w:fldCharType="end"/>
            </w:r>
          </w:hyperlink>
        </w:p>
        <w:p w14:paraId="076E275F" w14:textId="53643A41"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4" w:history="1">
            <w:r w:rsidR="00A3618D" w:rsidRPr="00B03552">
              <w:rPr>
                <w:rStyle w:val="Lienhypertexte"/>
                <w:noProof/>
              </w:rPr>
              <w:t>7.3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Cofinancement national et européen</w:t>
            </w:r>
            <w:r w:rsidR="00A3618D">
              <w:rPr>
                <w:noProof/>
                <w:webHidden/>
              </w:rPr>
              <w:tab/>
            </w:r>
            <w:r w:rsidR="00A3618D">
              <w:rPr>
                <w:noProof/>
                <w:webHidden/>
              </w:rPr>
              <w:fldChar w:fldCharType="begin"/>
            </w:r>
            <w:r w:rsidR="00A3618D">
              <w:rPr>
                <w:noProof/>
                <w:webHidden/>
              </w:rPr>
              <w:instrText xml:space="preserve"> PAGEREF _Toc177052084 \h </w:instrText>
            </w:r>
            <w:r w:rsidR="00A3618D">
              <w:rPr>
                <w:noProof/>
                <w:webHidden/>
              </w:rPr>
            </w:r>
            <w:r w:rsidR="00A3618D">
              <w:rPr>
                <w:noProof/>
                <w:webHidden/>
              </w:rPr>
              <w:fldChar w:fldCharType="separate"/>
            </w:r>
            <w:r w:rsidR="00A3618D">
              <w:rPr>
                <w:noProof/>
                <w:webHidden/>
              </w:rPr>
              <w:t>21</w:t>
            </w:r>
            <w:r w:rsidR="00A3618D">
              <w:rPr>
                <w:noProof/>
                <w:webHidden/>
              </w:rPr>
              <w:fldChar w:fldCharType="end"/>
            </w:r>
          </w:hyperlink>
        </w:p>
        <w:p w14:paraId="27E926C1" w14:textId="3FBDE0F3"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5" w:history="1">
            <w:r w:rsidR="00A3618D" w:rsidRPr="00B03552">
              <w:rPr>
                <w:rStyle w:val="Lienhypertexte"/>
                <w:noProof/>
              </w:rPr>
              <w:t>7.4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_Toc177052085 \h </w:instrText>
            </w:r>
            <w:r w:rsidR="00A3618D">
              <w:rPr>
                <w:noProof/>
                <w:webHidden/>
              </w:rPr>
            </w:r>
            <w:r w:rsidR="00A3618D">
              <w:rPr>
                <w:noProof/>
                <w:webHidden/>
              </w:rPr>
              <w:fldChar w:fldCharType="separate"/>
            </w:r>
            <w:r w:rsidR="00A3618D">
              <w:rPr>
                <w:noProof/>
                <w:webHidden/>
              </w:rPr>
              <w:t>22</w:t>
            </w:r>
            <w:r w:rsidR="00A3618D">
              <w:rPr>
                <w:noProof/>
                <w:webHidden/>
              </w:rPr>
              <w:fldChar w:fldCharType="end"/>
            </w:r>
          </w:hyperlink>
        </w:p>
        <w:p w14:paraId="36807947" w14:textId="177C4D73"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6" w:history="1">
            <w:r w:rsidR="00A3618D" w:rsidRPr="00B03552">
              <w:rPr>
                <w:rStyle w:val="Lienhypertexte"/>
                <w:noProof/>
              </w:rPr>
              <w:t>7.5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des aides à l’Agriculture Biologique du 2</w:t>
            </w:r>
            <w:r w:rsidR="00A3618D" w:rsidRPr="00B03552">
              <w:rPr>
                <w:rStyle w:val="Lienhypertexte"/>
                <w:noProof/>
                <w:vertAlign w:val="superscript"/>
              </w:rPr>
              <w:t>nd</w:t>
            </w:r>
            <w:r w:rsidR="00A3618D" w:rsidRPr="00B03552">
              <w:rPr>
                <w:rStyle w:val="Lienhypertexte"/>
                <w:noProof/>
              </w:rPr>
              <w:t xml:space="preserve"> pilier (ex mesure 11) pour 2024</w:t>
            </w:r>
            <w:r w:rsidR="00A3618D">
              <w:rPr>
                <w:noProof/>
                <w:webHidden/>
              </w:rPr>
              <w:tab/>
            </w:r>
            <w:r w:rsidR="00A3618D">
              <w:rPr>
                <w:noProof/>
                <w:webHidden/>
              </w:rPr>
              <w:fldChar w:fldCharType="begin"/>
            </w:r>
            <w:r w:rsidR="00A3618D">
              <w:rPr>
                <w:noProof/>
                <w:webHidden/>
              </w:rPr>
              <w:instrText xml:space="preserve"> PAGEREF _Toc177052086 \h </w:instrText>
            </w:r>
            <w:r w:rsidR="00A3618D">
              <w:rPr>
                <w:noProof/>
                <w:webHidden/>
              </w:rPr>
            </w:r>
            <w:r w:rsidR="00A3618D">
              <w:rPr>
                <w:noProof/>
                <w:webHidden/>
              </w:rPr>
              <w:fldChar w:fldCharType="separate"/>
            </w:r>
            <w:r w:rsidR="00A3618D">
              <w:rPr>
                <w:noProof/>
                <w:webHidden/>
              </w:rPr>
              <w:t>22</w:t>
            </w:r>
            <w:r w:rsidR="00A3618D">
              <w:rPr>
                <w:noProof/>
                <w:webHidden/>
              </w:rPr>
              <w:fldChar w:fldCharType="end"/>
            </w:r>
          </w:hyperlink>
        </w:p>
        <w:p w14:paraId="79B97759" w14:textId="123201E9"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87" w:history="1">
            <w:r w:rsidR="00A3618D" w:rsidRPr="00B03552">
              <w:rPr>
                <w:rStyle w:val="Lienhypertexte"/>
                <w:noProof/>
              </w:rPr>
              <w:t>8</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européennes hors PAC</w:t>
            </w:r>
            <w:r w:rsidR="00A3618D">
              <w:rPr>
                <w:noProof/>
                <w:webHidden/>
              </w:rPr>
              <w:tab/>
            </w:r>
            <w:r w:rsidR="00A3618D">
              <w:rPr>
                <w:noProof/>
                <w:webHidden/>
              </w:rPr>
              <w:fldChar w:fldCharType="begin"/>
            </w:r>
            <w:r w:rsidR="00A3618D">
              <w:rPr>
                <w:noProof/>
                <w:webHidden/>
              </w:rPr>
              <w:instrText xml:space="preserve"> PAGEREF _Toc177052087 \h </w:instrText>
            </w:r>
            <w:r w:rsidR="00A3618D">
              <w:rPr>
                <w:noProof/>
                <w:webHidden/>
              </w:rPr>
            </w:r>
            <w:r w:rsidR="00A3618D">
              <w:rPr>
                <w:noProof/>
                <w:webHidden/>
              </w:rPr>
              <w:fldChar w:fldCharType="separate"/>
            </w:r>
            <w:r w:rsidR="00A3618D">
              <w:rPr>
                <w:noProof/>
                <w:webHidden/>
              </w:rPr>
              <w:t>22</w:t>
            </w:r>
            <w:r w:rsidR="00A3618D">
              <w:rPr>
                <w:noProof/>
                <w:webHidden/>
              </w:rPr>
              <w:fldChar w:fldCharType="end"/>
            </w:r>
          </w:hyperlink>
        </w:p>
        <w:p w14:paraId="5B249A60" w14:textId="6B73B71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8" w:history="1">
            <w:r w:rsidR="00A3618D" w:rsidRPr="00B03552">
              <w:rPr>
                <w:rStyle w:val="Lienhypertexte"/>
                <w:noProof/>
              </w:rPr>
              <w:t>8.1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_Toc177052088 \h </w:instrText>
            </w:r>
            <w:r w:rsidR="00A3618D">
              <w:rPr>
                <w:noProof/>
                <w:webHidden/>
              </w:rPr>
            </w:r>
            <w:r w:rsidR="00A3618D">
              <w:rPr>
                <w:noProof/>
                <w:webHidden/>
              </w:rPr>
              <w:fldChar w:fldCharType="separate"/>
            </w:r>
            <w:r w:rsidR="00A3618D">
              <w:rPr>
                <w:noProof/>
                <w:webHidden/>
              </w:rPr>
              <w:t>22</w:t>
            </w:r>
            <w:r w:rsidR="00A3618D">
              <w:rPr>
                <w:noProof/>
                <w:webHidden/>
              </w:rPr>
              <w:fldChar w:fldCharType="end"/>
            </w:r>
          </w:hyperlink>
        </w:p>
        <w:p w14:paraId="26433742" w14:textId="5249A3A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89" w:history="1">
            <w:r w:rsidR="00A3618D" w:rsidRPr="00B03552">
              <w:rPr>
                <w:rStyle w:val="Lienhypertexte"/>
                <w:noProof/>
              </w:rPr>
              <w:t>8.2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Bénéficiaires</w:t>
            </w:r>
            <w:r w:rsidR="00A3618D">
              <w:rPr>
                <w:noProof/>
                <w:webHidden/>
              </w:rPr>
              <w:tab/>
            </w:r>
            <w:r w:rsidR="00A3618D">
              <w:rPr>
                <w:noProof/>
                <w:webHidden/>
              </w:rPr>
              <w:fldChar w:fldCharType="begin"/>
            </w:r>
            <w:r w:rsidR="00A3618D">
              <w:rPr>
                <w:noProof/>
                <w:webHidden/>
              </w:rPr>
              <w:instrText xml:space="preserve"> PAGEREF _Toc177052089 \h </w:instrText>
            </w:r>
            <w:r w:rsidR="00A3618D">
              <w:rPr>
                <w:noProof/>
                <w:webHidden/>
              </w:rPr>
            </w:r>
            <w:r w:rsidR="00A3618D">
              <w:rPr>
                <w:noProof/>
                <w:webHidden/>
              </w:rPr>
              <w:fldChar w:fldCharType="separate"/>
            </w:r>
            <w:r w:rsidR="00A3618D">
              <w:rPr>
                <w:noProof/>
                <w:webHidden/>
              </w:rPr>
              <w:t>24</w:t>
            </w:r>
            <w:r w:rsidR="00A3618D">
              <w:rPr>
                <w:noProof/>
                <w:webHidden/>
              </w:rPr>
              <w:fldChar w:fldCharType="end"/>
            </w:r>
          </w:hyperlink>
        </w:p>
        <w:p w14:paraId="7BABA568" w14:textId="4879235F"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90" w:history="1">
            <w:r w:rsidR="00A3618D" w:rsidRPr="00B03552">
              <w:rPr>
                <w:rStyle w:val="Lienhypertexte"/>
                <w:noProof/>
              </w:rPr>
              <w:t>8.2.1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Mode opératoire général</w:t>
            </w:r>
            <w:r w:rsidR="00A3618D">
              <w:rPr>
                <w:noProof/>
                <w:webHidden/>
              </w:rPr>
              <w:tab/>
            </w:r>
            <w:r w:rsidR="00A3618D">
              <w:rPr>
                <w:noProof/>
                <w:webHidden/>
              </w:rPr>
              <w:fldChar w:fldCharType="begin"/>
            </w:r>
            <w:r w:rsidR="00A3618D">
              <w:rPr>
                <w:noProof/>
                <w:webHidden/>
              </w:rPr>
              <w:instrText xml:space="preserve"> PAGEREF _Toc177052090 \h </w:instrText>
            </w:r>
            <w:r w:rsidR="00A3618D">
              <w:rPr>
                <w:noProof/>
                <w:webHidden/>
              </w:rPr>
            </w:r>
            <w:r w:rsidR="00A3618D">
              <w:rPr>
                <w:noProof/>
                <w:webHidden/>
              </w:rPr>
              <w:fldChar w:fldCharType="separate"/>
            </w:r>
            <w:r w:rsidR="00A3618D">
              <w:rPr>
                <w:noProof/>
                <w:webHidden/>
              </w:rPr>
              <w:t>24</w:t>
            </w:r>
            <w:r w:rsidR="00A3618D">
              <w:rPr>
                <w:noProof/>
                <w:webHidden/>
              </w:rPr>
              <w:fldChar w:fldCharType="end"/>
            </w:r>
          </w:hyperlink>
        </w:p>
        <w:p w14:paraId="02F57D19" w14:textId="2495FA87"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91" w:history="1">
            <w:r w:rsidR="00A3618D" w:rsidRPr="00B03552">
              <w:rPr>
                <w:rStyle w:val="Lienhypertexte"/>
                <w:noProof/>
              </w:rPr>
              <w:t>8.2.2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Horizon 2020 / Horizon Europe : TRANSVERSE</w:t>
            </w:r>
            <w:r w:rsidR="00A3618D">
              <w:rPr>
                <w:noProof/>
                <w:webHidden/>
              </w:rPr>
              <w:tab/>
            </w:r>
            <w:r w:rsidR="00A3618D">
              <w:rPr>
                <w:noProof/>
                <w:webHidden/>
              </w:rPr>
              <w:fldChar w:fldCharType="begin"/>
            </w:r>
            <w:r w:rsidR="00A3618D">
              <w:rPr>
                <w:noProof/>
                <w:webHidden/>
              </w:rPr>
              <w:instrText xml:space="preserve"> PAGEREF _Toc177052091 \h </w:instrText>
            </w:r>
            <w:r w:rsidR="00A3618D">
              <w:rPr>
                <w:noProof/>
                <w:webHidden/>
              </w:rPr>
            </w:r>
            <w:r w:rsidR="00A3618D">
              <w:rPr>
                <w:noProof/>
                <w:webHidden/>
              </w:rPr>
              <w:fldChar w:fldCharType="separate"/>
            </w:r>
            <w:r w:rsidR="00A3618D">
              <w:rPr>
                <w:noProof/>
                <w:webHidden/>
              </w:rPr>
              <w:t>24</w:t>
            </w:r>
            <w:r w:rsidR="00A3618D">
              <w:rPr>
                <w:noProof/>
                <w:webHidden/>
              </w:rPr>
              <w:fldChar w:fldCharType="end"/>
            </w:r>
          </w:hyperlink>
        </w:p>
        <w:p w14:paraId="1ECCD45E" w14:textId="2242892E"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92" w:history="1">
            <w:r w:rsidR="00A3618D" w:rsidRPr="00B03552">
              <w:rPr>
                <w:rStyle w:val="Lienhypertexte"/>
                <w:noProof/>
              </w:rPr>
              <w:t>8.2.3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FEAD : CONSO</w:t>
            </w:r>
            <w:r w:rsidR="00A3618D">
              <w:rPr>
                <w:noProof/>
                <w:webHidden/>
              </w:rPr>
              <w:tab/>
            </w:r>
            <w:r w:rsidR="00A3618D">
              <w:rPr>
                <w:noProof/>
                <w:webHidden/>
              </w:rPr>
              <w:fldChar w:fldCharType="begin"/>
            </w:r>
            <w:r w:rsidR="00A3618D">
              <w:rPr>
                <w:noProof/>
                <w:webHidden/>
              </w:rPr>
              <w:instrText xml:space="preserve"> PAGEREF _Toc177052092 \h </w:instrText>
            </w:r>
            <w:r w:rsidR="00A3618D">
              <w:rPr>
                <w:noProof/>
                <w:webHidden/>
              </w:rPr>
            </w:r>
            <w:r w:rsidR="00A3618D">
              <w:rPr>
                <w:noProof/>
                <w:webHidden/>
              </w:rPr>
              <w:fldChar w:fldCharType="separate"/>
            </w:r>
            <w:r w:rsidR="00A3618D">
              <w:rPr>
                <w:noProof/>
                <w:webHidden/>
              </w:rPr>
              <w:t>25</w:t>
            </w:r>
            <w:r w:rsidR="00A3618D">
              <w:rPr>
                <w:noProof/>
                <w:webHidden/>
              </w:rPr>
              <w:fldChar w:fldCharType="end"/>
            </w:r>
          </w:hyperlink>
        </w:p>
        <w:p w14:paraId="32FBDB0A" w14:textId="4D1D38FB"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93" w:history="1">
            <w:r w:rsidR="00A3618D" w:rsidRPr="00B03552">
              <w:rPr>
                <w:rStyle w:val="Lienhypertexte"/>
                <w:noProof/>
              </w:rPr>
              <w:t>8.3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France Relance : cofinancement</w:t>
            </w:r>
            <w:r w:rsidR="00A3618D">
              <w:rPr>
                <w:noProof/>
                <w:webHidden/>
              </w:rPr>
              <w:tab/>
            </w:r>
            <w:r w:rsidR="00A3618D">
              <w:rPr>
                <w:noProof/>
                <w:webHidden/>
              </w:rPr>
              <w:fldChar w:fldCharType="begin"/>
            </w:r>
            <w:r w:rsidR="00A3618D">
              <w:rPr>
                <w:noProof/>
                <w:webHidden/>
              </w:rPr>
              <w:instrText xml:space="preserve"> PAGEREF _Toc177052093 \h </w:instrText>
            </w:r>
            <w:r w:rsidR="00A3618D">
              <w:rPr>
                <w:noProof/>
                <w:webHidden/>
              </w:rPr>
            </w:r>
            <w:r w:rsidR="00A3618D">
              <w:rPr>
                <w:noProof/>
                <w:webHidden/>
              </w:rPr>
              <w:fldChar w:fldCharType="separate"/>
            </w:r>
            <w:r w:rsidR="00A3618D">
              <w:rPr>
                <w:noProof/>
                <w:webHidden/>
              </w:rPr>
              <w:t>25</w:t>
            </w:r>
            <w:r w:rsidR="00A3618D">
              <w:rPr>
                <w:noProof/>
                <w:webHidden/>
              </w:rPr>
              <w:fldChar w:fldCharType="end"/>
            </w:r>
          </w:hyperlink>
        </w:p>
        <w:p w14:paraId="030EE4A8" w14:textId="64C11816"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94" w:history="1">
            <w:r w:rsidR="00A3618D" w:rsidRPr="00B03552">
              <w:rPr>
                <w:rStyle w:val="Lienhypertexte"/>
                <w:noProof/>
              </w:rPr>
              <w:t>8.4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_Toc177052094 \h </w:instrText>
            </w:r>
            <w:r w:rsidR="00A3618D">
              <w:rPr>
                <w:noProof/>
                <w:webHidden/>
              </w:rPr>
            </w:r>
            <w:r w:rsidR="00A3618D">
              <w:rPr>
                <w:noProof/>
                <w:webHidden/>
              </w:rPr>
              <w:fldChar w:fldCharType="separate"/>
            </w:r>
            <w:r w:rsidR="00A3618D">
              <w:rPr>
                <w:noProof/>
                <w:webHidden/>
              </w:rPr>
              <w:t>25</w:t>
            </w:r>
            <w:r w:rsidR="00A3618D">
              <w:rPr>
                <w:noProof/>
                <w:webHidden/>
              </w:rPr>
              <w:fldChar w:fldCharType="end"/>
            </w:r>
          </w:hyperlink>
        </w:p>
        <w:p w14:paraId="6D66A239" w14:textId="6D276400"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095" w:history="1">
            <w:r w:rsidR="00A3618D" w:rsidRPr="00B03552">
              <w:rPr>
                <w:rStyle w:val="Lienhypertexte"/>
                <w:noProof/>
              </w:rPr>
              <w:t>9</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budgétaires nationales</w:t>
            </w:r>
            <w:r w:rsidR="00A3618D">
              <w:rPr>
                <w:noProof/>
                <w:webHidden/>
              </w:rPr>
              <w:tab/>
            </w:r>
            <w:r w:rsidR="00A3618D">
              <w:rPr>
                <w:noProof/>
                <w:webHidden/>
              </w:rPr>
              <w:fldChar w:fldCharType="begin"/>
            </w:r>
            <w:r w:rsidR="00A3618D">
              <w:rPr>
                <w:noProof/>
                <w:webHidden/>
              </w:rPr>
              <w:instrText xml:space="preserve"> PAGEREF _Toc177052095 \h </w:instrText>
            </w:r>
            <w:r w:rsidR="00A3618D">
              <w:rPr>
                <w:noProof/>
                <w:webHidden/>
              </w:rPr>
            </w:r>
            <w:r w:rsidR="00A3618D">
              <w:rPr>
                <w:noProof/>
                <w:webHidden/>
              </w:rPr>
              <w:fldChar w:fldCharType="separate"/>
            </w:r>
            <w:r w:rsidR="00A3618D">
              <w:rPr>
                <w:noProof/>
                <w:webHidden/>
              </w:rPr>
              <w:t>26</w:t>
            </w:r>
            <w:r w:rsidR="00A3618D">
              <w:rPr>
                <w:noProof/>
                <w:webHidden/>
              </w:rPr>
              <w:fldChar w:fldCharType="end"/>
            </w:r>
          </w:hyperlink>
        </w:p>
        <w:p w14:paraId="156A5076" w14:textId="0DA1E1FA"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96" w:history="1">
            <w:r w:rsidR="00A3618D" w:rsidRPr="00B03552">
              <w:rPr>
                <w:rStyle w:val="Lienhypertexte"/>
                <w:noProof/>
              </w:rPr>
              <w:t>9.1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_Toc177052096 \h </w:instrText>
            </w:r>
            <w:r w:rsidR="00A3618D">
              <w:rPr>
                <w:noProof/>
                <w:webHidden/>
              </w:rPr>
            </w:r>
            <w:r w:rsidR="00A3618D">
              <w:rPr>
                <w:noProof/>
                <w:webHidden/>
              </w:rPr>
              <w:fldChar w:fldCharType="separate"/>
            </w:r>
            <w:r w:rsidR="00A3618D">
              <w:rPr>
                <w:noProof/>
                <w:webHidden/>
              </w:rPr>
              <w:t>26</w:t>
            </w:r>
            <w:r w:rsidR="00A3618D">
              <w:rPr>
                <w:noProof/>
                <w:webHidden/>
              </w:rPr>
              <w:fldChar w:fldCharType="end"/>
            </w:r>
          </w:hyperlink>
        </w:p>
        <w:p w14:paraId="2A9D6AB4" w14:textId="04B1BC8D"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97" w:history="1">
            <w:r w:rsidR="00A3618D" w:rsidRPr="00B03552">
              <w:rPr>
                <w:rStyle w:val="Lienhypertexte"/>
                <w:noProof/>
              </w:rPr>
              <w:t>9.1.1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budgétaires de l’État</w:t>
            </w:r>
            <w:r w:rsidR="00A3618D">
              <w:rPr>
                <w:noProof/>
                <w:webHidden/>
              </w:rPr>
              <w:tab/>
            </w:r>
            <w:r w:rsidR="00A3618D">
              <w:rPr>
                <w:noProof/>
                <w:webHidden/>
              </w:rPr>
              <w:fldChar w:fldCharType="begin"/>
            </w:r>
            <w:r w:rsidR="00A3618D">
              <w:rPr>
                <w:noProof/>
                <w:webHidden/>
              </w:rPr>
              <w:instrText xml:space="preserve"> PAGEREF _Toc177052097 \h </w:instrText>
            </w:r>
            <w:r w:rsidR="00A3618D">
              <w:rPr>
                <w:noProof/>
                <w:webHidden/>
              </w:rPr>
            </w:r>
            <w:r w:rsidR="00A3618D">
              <w:rPr>
                <w:noProof/>
                <w:webHidden/>
              </w:rPr>
              <w:fldChar w:fldCharType="separate"/>
            </w:r>
            <w:r w:rsidR="00A3618D">
              <w:rPr>
                <w:noProof/>
                <w:webHidden/>
              </w:rPr>
              <w:t>26</w:t>
            </w:r>
            <w:r w:rsidR="00A3618D">
              <w:rPr>
                <w:noProof/>
                <w:webHidden/>
              </w:rPr>
              <w:fldChar w:fldCharType="end"/>
            </w:r>
          </w:hyperlink>
        </w:p>
        <w:p w14:paraId="741338D4" w14:textId="47B4A060"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098" w:history="1">
            <w:r w:rsidR="00A3618D" w:rsidRPr="00B03552">
              <w:rPr>
                <w:rStyle w:val="Lienhypertexte"/>
                <w:noProof/>
              </w:rPr>
              <w:t>9.1.2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budgétaires de la sécurité sociale</w:t>
            </w:r>
            <w:r w:rsidR="00A3618D">
              <w:rPr>
                <w:noProof/>
                <w:webHidden/>
              </w:rPr>
              <w:tab/>
            </w:r>
            <w:r w:rsidR="00A3618D">
              <w:rPr>
                <w:noProof/>
                <w:webHidden/>
              </w:rPr>
              <w:fldChar w:fldCharType="begin"/>
            </w:r>
            <w:r w:rsidR="00A3618D">
              <w:rPr>
                <w:noProof/>
                <w:webHidden/>
              </w:rPr>
              <w:instrText xml:space="preserve"> PAGEREF _Toc177052098 \h </w:instrText>
            </w:r>
            <w:r w:rsidR="00A3618D">
              <w:rPr>
                <w:noProof/>
                <w:webHidden/>
              </w:rPr>
            </w:r>
            <w:r w:rsidR="00A3618D">
              <w:rPr>
                <w:noProof/>
                <w:webHidden/>
              </w:rPr>
              <w:fldChar w:fldCharType="separate"/>
            </w:r>
            <w:r w:rsidR="00A3618D">
              <w:rPr>
                <w:noProof/>
                <w:webHidden/>
              </w:rPr>
              <w:t>27</w:t>
            </w:r>
            <w:r w:rsidR="00A3618D">
              <w:rPr>
                <w:noProof/>
                <w:webHidden/>
              </w:rPr>
              <w:fldChar w:fldCharType="end"/>
            </w:r>
          </w:hyperlink>
        </w:p>
        <w:p w14:paraId="20781B1F" w14:textId="0C8FCE49"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099" w:history="1">
            <w:r w:rsidR="00A3618D" w:rsidRPr="00B03552">
              <w:rPr>
                <w:rStyle w:val="Lienhypertexte"/>
                <w:noProof/>
              </w:rPr>
              <w:t>9.2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Détail du des missions et programmes du budget de l’État couverts</w:t>
            </w:r>
            <w:r w:rsidR="00A3618D">
              <w:rPr>
                <w:noProof/>
                <w:webHidden/>
              </w:rPr>
              <w:tab/>
            </w:r>
            <w:r w:rsidR="00A3618D">
              <w:rPr>
                <w:noProof/>
                <w:webHidden/>
              </w:rPr>
              <w:fldChar w:fldCharType="begin"/>
            </w:r>
            <w:r w:rsidR="00A3618D">
              <w:rPr>
                <w:noProof/>
                <w:webHidden/>
              </w:rPr>
              <w:instrText xml:space="preserve"> PAGEREF _Toc177052099 \h </w:instrText>
            </w:r>
            <w:r w:rsidR="00A3618D">
              <w:rPr>
                <w:noProof/>
                <w:webHidden/>
              </w:rPr>
            </w:r>
            <w:r w:rsidR="00A3618D">
              <w:rPr>
                <w:noProof/>
                <w:webHidden/>
              </w:rPr>
              <w:fldChar w:fldCharType="separate"/>
            </w:r>
            <w:r w:rsidR="00A3618D">
              <w:rPr>
                <w:noProof/>
                <w:webHidden/>
              </w:rPr>
              <w:t>27</w:t>
            </w:r>
            <w:r w:rsidR="00A3618D">
              <w:rPr>
                <w:noProof/>
                <w:webHidden/>
              </w:rPr>
              <w:fldChar w:fldCharType="end"/>
            </w:r>
          </w:hyperlink>
        </w:p>
        <w:p w14:paraId="3AB542B6" w14:textId="434C79A4"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00" w:history="1">
            <w:r w:rsidR="00A3618D" w:rsidRPr="00B03552">
              <w:rPr>
                <w:rStyle w:val="Lienhypertexte"/>
                <w:noProof/>
              </w:rPr>
              <w:t>9.2.1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Exception des aides COVID de 2021</w:t>
            </w:r>
            <w:r w:rsidR="00A3618D">
              <w:rPr>
                <w:noProof/>
                <w:webHidden/>
              </w:rPr>
              <w:tab/>
            </w:r>
            <w:r w:rsidR="00A3618D">
              <w:rPr>
                <w:noProof/>
                <w:webHidden/>
              </w:rPr>
              <w:fldChar w:fldCharType="begin"/>
            </w:r>
            <w:r w:rsidR="00A3618D">
              <w:rPr>
                <w:noProof/>
                <w:webHidden/>
              </w:rPr>
              <w:instrText xml:space="preserve"> PAGEREF _Toc177052100 \h </w:instrText>
            </w:r>
            <w:r w:rsidR="00A3618D">
              <w:rPr>
                <w:noProof/>
                <w:webHidden/>
              </w:rPr>
            </w:r>
            <w:r w:rsidR="00A3618D">
              <w:rPr>
                <w:noProof/>
                <w:webHidden/>
              </w:rPr>
              <w:fldChar w:fldCharType="separate"/>
            </w:r>
            <w:r w:rsidR="00A3618D">
              <w:rPr>
                <w:noProof/>
                <w:webHidden/>
              </w:rPr>
              <w:t>28</w:t>
            </w:r>
            <w:r w:rsidR="00A3618D">
              <w:rPr>
                <w:noProof/>
                <w:webHidden/>
              </w:rPr>
              <w:fldChar w:fldCharType="end"/>
            </w:r>
          </w:hyperlink>
        </w:p>
        <w:p w14:paraId="56CD20C6" w14:textId="658D4F92"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01" w:history="1">
            <w:r w:rsidR="00A3618D" w:rsidRPr="00B03552">
              <w:rPr>
                <w:rStyle w:val="Lienhypertexte"/>
                <w:noProof/>
              </w:rPr>
              <w:t>9.2.2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Exception pour la restauration collective universitaire</w:t>
            </w:r>
            <w:r w:rsidR="00A3618D">
              <w:rPr>
                <w:noProof/>
                <w:webHidden/>
              </w:rPr>
              <w:tab/>
            </w:r>
            <w:r w:rsidR="00A3618D">
              <w:rPr>
                <w:noProof/>
                <w:webHidden/>
              </w:rPr>
              <w:fldChar w:fldCharType="begin"/>
            </w:r>
            <w:r w:rsidR="00A3618D">
              <w:rPr>
                <w:noProof/>
                <w:webHidden/>
              </w:rPr>
              <w:instrText xml:space="preserve"> PAGEREF _Toc177052101 \h </w:instrText>
            </w:r>
            <w:r w:rsidR="00A3618D">
              <w:rPr>
                <w:noProof/>
                <w:webHidden/>
              </w:rPr>
            </w:r>
            <w:r w:rsidR="00A3618D">
              <w:rPr>
                <w:noProof/>
                <w:webHidden/>
              </w:rPr>
              <w:fldChar w:fldCharType="separate"/>
            </w:r>
            <w:r w:rsidR="00A3618D">
              <w:rPr>
                <w:noProof/>
                <w:webHidden/>
              </w:rPr>
              <w:t>29</w:t>
            </w:r>
            <w:r w:rsidR="00A3618D">
              <w:rPr>
                <w:noProof/>
                <w:webHidden/>
              </w:rPr>
              <w:fldChar w:fldCharType="end"/>
            </w:r>
          </w:hyperlink>
        </w:p>
        <w:p w14:paraId="166F31E9" w14:textId="62190F00"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02" w:history="1">
            <w:r w:rsidR="00A3618D" w:rsidRPr="00B03552">
              <w:rPr>
                <w:rStyle w:val="Lienhypertexte"/>
                <w:noProof/>
              </w:rPr>
              <w:t>9.3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_Toc177052102 \h </w:instrText>
            </w:r>
            <w:r w:rsidR="00A3618D">
              <w:rPr>
                <w:noProof/>
                <w:webHidden/>
              </w:rPr>
            </w:r>
            <w:r w:rsidR="00A3618D">
              <w:rPr>
                <w:noProof/>
                <w:webHidden/>
              </w:rPr>
              <w:fldChar w:fldCharType="separate"/>
            </w:r>
            <w:r w:rsidR="00A3618D">
              <w:rPr>
                <w:noProof/>
                <w:webHidden/>
              </w:rPr>
              <w:t>29</w:t>
            </w:r>
            <w:r w:rsidR="00A3618D">
              <w:rPr>
                <w:noProof/>
                <w:webHidden/>
              </w:rPr>
              <w:fldChar w:fldCharType="end"/>
            </w:r>
          </w:hyperlink>
        </w:p>
        <w:p w14:paraId="42DA734A" w14:textId="5BB69482"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103" w:history="1">
            <w:r w:rsidR="00A3618D" w:rsidRPr="00B03552">
              <w:rPr>
                <w:rStyle w:val="Lienhypertexte"/>
                <w:noProof/>
              </w:rPr>
              <w:t>10</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fiscales du budget de l’État</w:t>
            </w:r>
            <w:r w:rsidR="00A3618D">
              <w:rPr>
                <w:noProof/>
                <w:webHidden/>
              </w:rPr>
              <w:tab/>
            </w:r>
            <w:r w:rsidR="00A3618D">
              <w:rPr>
                <w:noProof/>
                <w:webHidden/>
              </w:rPr>
              <w:fldChar w:fldCharType="begin"/>
            </w:r>
            <w:r w:rsidR="00A3618D">
              <w:rPr>
                <w:noProof/>
                <w:webHidden/>
              </w:rPr>
              <w:instrText xml:space="preserve"> PAGEREF _Toc177052103 \h </w:instrText>
            </w:r>
            <w:r w:rsidR="00A3618D">
              <w:rPr>
                <w:noProof/>
                <w:webHidden/>
              </w:rPr>
            </w:r>
            <w:r w:rsidR="00A3618D">
              <w:rPr>
                <w:noProof/>
                <w:webHidden/>
              </w:rPr>
              <w:fldChar w:fldCharType="separate"/>
            </w:r>
            <w:r w:rsidR="00A3618D">
              <w:rPr>
                <w:noProof/>
                <w:webHidden/>
              </w:rPr>
              <w:t>29</w:t>
            </w:r>
            <w:r w:rsidR="00A3618D">
              <w:rPr>
                <w:noProof/>
                <w:webHidden/>
              </w:rPr>
              <w:fldChar w:fldCharType="end"/>
            </w:r>
          </w:hyperlink>
        </w:p>
        <w:p w14:paraId="5185A7D6" w14:textId="5F44D9AC"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04" w:history="1">
            <w:r w:rsidR="00A3618D" w:rsidRPr="00B03552">
              <w:rPr>
                <w:rStyle w:val="Lienhypertexte"/>
                <w:noProof/>
              </w:rPr>
              <w:t>10.1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_Toc177052104 \h </w:instrText>
            </w:r>
            <w:r w:rsidR="00A3618D">
              <w:rPr>
                <w:noProof/>
                <w:webHidden/>
              </w:rPr>
            </w:r>
            <w:r w:rsidR="00A3618D">
              <w:rPr>
                <w:noProof/>
                <w:webHidden/>
              </w:rPr>
              <w:fldChar w:fldCharType="separate"/>
            </w:r>
            <w:r w:rsidR="00A3618D">
              <w:rPr>
                <w:noProof/>
                <w:webHidden/>
              </w:rPr>
              <w:t>29</w:t>
            </w:r>
            <w:r w:rsidR="00A3618D">
              <w:rPr>
                <w:noProof/>
                <w:webHidden/>
              </w:rPr>
              <w:fldChar w:fldCharType="end"/>
            </w:r>
          </w:hyperlink>
        </w:p>
        <w:p w14:paraId="0F84A14D" w14:textId="52F1C835"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05" w:history="1">
            <w:r w:rsidR="00A3618D" w:rsidRPr="00B03552">
              <w:rPr>
                <w:rStyle w:val="Lienhypertexte"/>
                <w:noProof/>
              </w:rPr>
              <w:t>10.1.1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Méthodologie de collecte</w:t>
            </w:r>
            <w:r w:rsidR="00A3618D">
              <w:rPr>
                <w:noProof/>
                <w:webHidden/>
              </w:rPr>
              <w:tab/>
            </w:r>
            <w:r w:rsidR="00A3618D">
              <w:rPr>
                <w:noProof/>
                <w:webHidden/>
              </w:rPr>
              <w:fldChar w:fldCharType="begin"/>
            </w:r>
            <w:r w:rsidR="00A3618D">
              <w:rPr>
                <w:noProof/>
                <w:webHidden/>
              </w:rPr>
              <w:instrText xml:space="preserve"> PAGEREF _Toc177052105 \h </w:instrText>
            </w:r>
            <w:r w:rsidR="00A3618D">
              <w:rPr>
                <w:noProof/>
                <w:webHidden/>
              </w:rPr>
            </w:r>
            <w:r w:rsidR="00A3618D">
              <w:rPr>
                <w:noProof/>
                <w:webHidden/>
              </w:rPr>
              <w:fldChar w:fldCharType="separate"/>
            </w:r>
            <w:r w:rsidR="00A3618D">
              <w:rPr>
                <w:noProof/>
                <w:webHidden/>
              </w:rPr>
              <w:t>30</w:t>
            </w:r>
            <w:r w:rsidR="00A3618D">
              <w:rPr>
                <w:noProof/>
                <w:webHidden/>
              </w:rPr>
              <w:fldChar w:fldCharType="end"/>
            </w:r>
          </w:hyperlink>
        </w:p>
        <w:p w14:paraId="6E2CB14E" w14:textId="044B8354"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06" w:history="1">
            <w:r w:rsidR="00A3618D" w:rsidRPr="00B03552">
              <w:rPr>
                <w:rStyle w:val="Lienhypertexte"/>
                <w:noProof/>
              </w:rPr>
              <w:t>10.1.2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Méthodologie de codage</w:t>
            </w:r>
            <w:r w:rsidR="00A3618D">
              <w:rPr>
                <w:noProof/>
                <w:webHidden/>
              </w:rPr>
              <w:tab/>
            </w:r>
            <w:r w:rsidR="00A3618D">
              <w:rPr>
                <w:noProof/>
                <w:webHidden/>
              </w:rPr>
              <w:fldChar w:fldCharType="begin"/>
            </w:r>
            <w:r w:rsidR="00A3618D">
              <w:rPr>
                <w:noProof/>
                <w:webHidden/>
              </w:rPr>
              <w:instrText xml:space="preserve"> PAGEREF _Toc177052106 \h </w:instrText>
            </w:r>
            <w:r w:rsidR="00A3618D">
              <w:rPr>
                <w:noProof/>
                <w:webHidden/>
              </w:rPr>
            </w:r>
            <w:r w:rsidR="00A3618D">
              <w:rPr>
                <w:noProof/>
                <w:webHidden/>
              </w:rPr>
              <w:fldChar w:fldCharType="separate"/>
            </w:r>
            <w:r w:rsidR="00A3618D">
              <w:rPr>
                <w:noProof/>
                <w:webHidden/>
              </w:rPr>
              <w:t>30</w:t>
            </w:r>
            <w:r w:rsidR="00A3618D">
              <w:rPr>
                <w:noProof/>
                <w:webHidden/>
              </w:rPr>
              <w:fldChar w:fldCharType="end"/>
            </w:r>
          </w:hyperlink>
        </w:p>
        <w:p w14:paraId="439AEF3A" w14:textId="5C6EC84C"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07" w:history="1">
            <w:r w:rsidR="00A3618D" w:rsidRPr="00B03552">
              <w:rPr>
                <w:rStyle w:val="Lienhypertexte"/>
                <w:noProof/>
              </w:rPr>
              <w:t>10.2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w:t>
            </w:r>
            <w:r w:rsidR="00A3618D">
              <w:rPr>
                <w:noProof/>
                <w:webHidden/>
              </w:rPr>
              <w:tab/>
            </w:r>
            <w:r w:rsidR="00A3618D">
              <w:rPr>
                <w:noProof/>
                <w:webHidden/>
              </w:rPr>
              <w:fldChar w:fldCharType="begin"/>
            </w:r>
            <w:r w:rsidR="00A3618D">
              <w:rPr>
                <w:noProof/>
                <w:webHidden/>
              </w:rPr>
              <w:instrText xml:space="preserve"> PAGEREF _Toc177052107 \h </w:instrText>
            </w:r>
            <w:r w:rsidR="00A3618D">
              <w:rPr>
                <w:noProof/>
                <w:webHidden/>
              </w:rPr>
            </w:r>
            <w:r w:rsidR="00A3618D">
              <w:rPr>
                <w:noProof/>
                <w:webHidden/>
              </w:rPr>
              <w:fldChar w:fldCharType="separate"/>
            </w:r>
            <w:r w:rsidR="00A3618D">
              <w:rPr>
                <w:noProof/>
                <w:webHidden/>
              </w:rPr>
              <w:t>30</w:t>
            </w:r>
            <w:r w:rsidR="00A3618D">
              <w:rPr>
                <w:noProof/>
                <w:webHidden/>
              </w:rPr>
              <w:fldChar w:fldCharType="end"/>
            </w:r>
          </w:hyperlink>
        </w:p>
        <w:p w14:paraId="29D86182" w14:textId="706E5420"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08" w:history="1">
            <w:r w:rsidR="00A3618D" w:rsidRPr="00B03552">
              <w:rPr>
                <w:rStyle w:val="Lienhypertexte"/>
                <w:noProof/>
              </w:rPr>
              <w:t>10.3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Proratisation des dépenses fiscales</w:t>
            </w:r>
            <w:r w:rsidR="00A3618D">
              <w:rPr>
                <w:noProof/>
                <w:webHidden/>
              </w:rPr>
              <w:tab/>
            </w:r>
            <w:r w:rsidR="00A3618D">
              <w:rPr>
                <w:noProof/>
                <w:webHidden/>
              </w:rPr>
              <w:fldChar w:fldCharType="begin"/>
            </w:r>
            <w:r w:rsidR="00A3618D">
              <w:rPr>
                <w:noProof/>
                <w:webHidden/>
              </w:rPr>
              <w:instrText xml:space="preserve"> PAGEREF _Toc177052108 \h </w:instrText>
            </w:r>
            <w:r w:rsidR="00A3618D">
              <w:rPr>
                <w:noProof/>
                <w:webHidden/>
              </w:rPr>
            </w:r>
            <w:r w:rsidR="00A3618D">
              <w:rPr>
                <w:noProof/>
                <w:webHidden/>
              </w:rPr>
              <w:fldChar w:fldCharType="separate"/>
            </w:r>
            <w:r w:rsidR="00A3618D">
              <w:rPr>
                <w:noProof/>
                <w:webHidden/>
              </w:rPr>
              <w:t>30</w:t>
            </w:r>
            <w:r w:rsidR="00A3618D">
              <w:rPr>
                <w:noProof/>
                <w:webHidden/>
              </w:rPr>
              <w:fldChar w:fldCharType="end"/>
            </w:r>
          </w:hyperlink>
        </w:p>
        <w:p w14:paraId="6D217F1B" w14:textId="6BE58DEA"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09" w:history="1">
            <w:r w:rsidR="00A3618D" w:rsidRPr="00B03552">
              <w:rPr>
                <w:rStyle w:val="Lienhypertexte"/>
                <w:noProof/>
              </w:rPr>
              <w:t>10.4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 cas particulier des exonérations aux énergies fossiles</w:t>
            </w:r>
            <w:r w:rsidR="00A3618D">
              <w:rPr>
                <w:noProof/>
                <w:webHidden/>
              </w:rPr>
              <w:tab/>
            </w:r>
            <w:r w:rsidR="00A3618D">
              <w:rPr>
                <w:noProof/>
                <w:webHidden/>
              </w:rPr>
              <w:fldChar w:fldCharType="begin"/>
            </w:r>
            <w:r w:rsidR="00A3618D">
              <w:rPr>
                <w:noProof/>
                <w:webHidden/>
              </w:rPr>
              <w:instrText xml:space="preserve"> PAGEREF _Toc177052109 \h </w:instrText>
            </w:r>
            <w:r w:rsidR="00A3618D">
              <w:rPr>
                <w:noProof/>
                <w:webHidden/>
              </w:rPr>
            </w:r>
            <w:r w:rsidR="00A3618D">
              <w:rPr>
                <w:noProof/>
                <w:webHidden/>
              </w:rPr>
              <w:fldChar w:fldCharType="separate"/>
            </w:r>
            <w:r w:rsidR="00A3618D">
              <w:rPr>
                <w:noProof/>
                <w:webHidden/>
              </w:rPr>
              <w:t>33</w:t>
            </w:r>
            <w:r w:rsidR="00A3618D">
              <w:rPr>
                <w:noProof/>
                <w:webHidden/>
              </w:rPr>
              <w:fldChar w:fldCharType="end"/>
            </w:r>
          </w:hyperlink>
        </w:p>
        <w:p w14:paraId="39162891" w14:textId="08B260B2"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10" w:history="1">
            <w:r w:rsidR="00A3618D" w:rsidRPr="00B03552">
              <w:rPr>
                <w:rStyle w:val="Lienhypertexte"/>
                <w:noProof/>
              </w:rPr>
              <w:t>10.4.1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Pour le secteur agricole</w:t>
            </w:r>
            <w:r w:rsidR="00A3618D">
              <w:rPr>
                <w:noProof/>
                <w:webHidden/>
              </w:rPr>
              <w:tab/>
            </w:r>
            <w:r w:rsidR="00A3618D">
              <w:rPr>
                <w:noProof/>
                <w:webHidden/>
              </w:rPr>
              <w:fldChar w:fldCharType="begin"/>
            </w:r>
            <w:r w:rsidR="00A3618D">
              <w:rPr>
                <w:noProof/>
                <w:webHidden/>
              </w:rPr>
              <w:instrText xml:space="preserve"> PAGEREF _Toc177052110 \h </w:instrText>
            </w:r>
            <w:r w:rsidR="00A3618D">
              <w:rPr>
                <w:noProof/>
                <w:webHidden/>
              </w:rPr>
            </w:r>
            <w:r w:rsidR="00A3618D">
              <w:rPr>
                <w:noProof/>
                <w:webHidden/>
              </w:rPr>
              <w:fldChar w:fldCharType="separate"/>
            </w:r>
            <w:r w:rsidR="00A3618D">
              <w:rPr>
                <w:noProof/>
                <w:webHidden/>
              </w:rPr>
              <w:t>33</w:t>
            </w:r>
            <w:r w:rsidR="00A3618D">
              <w:rPr>
                <w:noProof/>
                <w:webHidden/>
              </w:rPr>
              <w:fldChar w:fldCharType="end"/>
            </w:r>
          </w:hyperlink>
        </w:p>
        <w:p w14:paraId="221F22F6" w14:textId="7690ABB2"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11" w:history="1">
            <w:r w:rsidR="00A3618D" w:rsidRPr="00B03552">
              <w:rPr>
                <w:rStyle w:val="Lienhypertexte"/>
                <w:noProof/>
              </w:rPr>
              <w:t>10.4.2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Pour les poids lourds</w:t>
            </w:r>
            <w:r w:rsidR="00A3618D">
              <w:rPr>
                <w:noProof/>
                <w:webHidden/>
              </w:rPr>
              <w:tab/>
            </w:r>
            <w:r w:rsidR="00A3618D">
              <w:rPr>
                <w:noProof/>
                <w:webHidden/>
              </w:rPr>
              <w:fldChar w:fldCharType="begin"/>
            </w:r>
            <w:r w:rsidR="00A3618D">
              <w:rPr>
                <w:noProof/>
                <w:webHidden/>
              </w:rPr>
              <w:instrText xml:space="preserve"> PAGEREF _Toc177052111 \h </w:instrText>
            </w:r>
            <w:r w:rsidR="00A3618D">
              <w:rPr>
                <w:noProof/>
                <w:webHidden/>
              </w:rPr>
            </w:r>
            <w:r w:rsidR="00A3618D">
              <w:rPr>
                <w:noProof/>
                <w:webHidden/>
              </w:rPr>
              <w:fldChar w:fldCharType="separate"/>
            </w:r>
            <w:r w:rsidR="00A3618D">
              <w:rPr>
                <w:noProof/>
                <w:webHidden/>
              </w:rPr>
              <w:t>34</w:t>
            </w:r>
            <w:r w:rsidR="00A3618D">
              <w:rPr>
                <w:noProof/>
                <w:webHidden/>
              </w:rPr>
              <w:fldChar w:fldCharType="end"/>
            </w:r>
          </w:hyperlink>
        </w:p>
        <w:p w14:paraId="1F8CFA81" w14:textId="059F61B6"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12" w:history="1">
            <w:r w:rsidR="00A3618D" w:rsidRPr="00B03552">
              <w:rPr>
                <w:rStyle w:val="Lienhypertexte"/>
                <w:noProof/>
              </w:rPr>
              <w:t>10.5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dépenses fiscales déclassées</w:t>
            </w:r>
            <w:r w:rsidR="00A3618D">
              <w:rPr>
                <w:noProof/>
                <w:webHidden/>
              </w:rPr>
              <w:tab/>
            </w:r>
            <w:r w:rsidR="00A3618D">
              <w:rPr>
                <w:noProof/>
                <w:webHidden/>
              </w:rPr>
              <w:fldChar w:fldCharType="begin"/>
            </w:r>
            <w:r w:rsidR="00A3618D">
              <w:rPr>
                <w:noProof/>
                <w:webHidden/>
              </w:rPr>
              <w:instrText xml:space="preserve"> PAGEREF _Toc177052112 \h </w:instrText>
            </w:r>
            <w:r w:rsidR="00A3618D">
              <w:rPr>
                <w:noProof/>
                <w:webHidden/>
              </w:rPr>
            </w:r>
            <w:r w:rsidR="00A3618D">
              <w:rPr>
                <w:noProof/>
                <w:webHidden/>
              </w:rPr>
              <w:fldChar w:fldCharType="separate"/>
            </w:r>
            <w:r w:rsidR="00A3618D">
              <w:rPr>
                <w:noProof/>
                <w:webHidden/>
              </w:rPr>
              <w:t>34</w:t>
            </w:r>
            <w:r w:rsidR="00A3618D">
              <w:rPr>
                <w:noProof/>
                <w:webHidden/>
              </w:rPr>
              <w:fldChar w:fldCharType="end"/>
            </w:r>
          </w:hyperlink>
        </w:p>
        <w:p w14:paraId="7E72F71C" w14:textId="64CAB97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13" w:history="1">
            <w:r w:rsidR="00A3618D" w:rsidRPr="00B03552">
              <w:rPr>
                <w:rStyle w:val="Lienhypertexte"/>
                <w:noProof/>
              </w:rPr>
              <w:t>10.6</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_Toc177052113 \h </w:instrText>
            </w:r>
            <w:r w:rsidR="00A3618D">
              <w:rPr>
                <w:noProof/>
                <w:webHidden/>
              </w:rPr>
            </w:r>
            <w:r w:rsidR="00A3618D">
              <w:rPr>
                <w:noProof/>
                <w:webHidden/>
              </w:rPr>
              <w:fldChar w:fldCharType="separate"/>
            </w:r>
            <w:r w:rsidR="00A3618D">
              <w:rPr>
                <w:noProof/>
                <w:webHidden/>
              </w:rPr>
              <w:t>35</w:t>
            </w:r>
            <w:r w:rsidR="00A3618D">
              <w:rPr>
                <w:noProof/>
                <w:webHidden/>
              </w:rPr>
              <w:fldChar w:fldCharType="end"/>
            </w:r>
          </w:hyperlink>
        </w:p>
        <w:p w14:paraId="1B7EDB9E" w14:textId="2A4F083E"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114" w:history="1">
            <w:r w:rsidR="00A3618D" w:rsidRPr="00B03552">
              <w:rPr>
                <w:rStyle w:val="Lienhypertexte"/>
                <w:noProof/>
              </w:rPr>
              <w:t>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Dépenses budgétaires des collectivités territoriales</w:t>
            </w:r>
            <w:r w:rsidR="00A3618D">
              <w:rPr>
                <w:noProof/>
                <w:webHidden/>
              </w:rPr>
              <w:tab/>
            </w:r>
            <w:r w:rsidR="00A3618D">
              <w:rPr>
                <w:noProof/>
                <w:webHidden/>
              </w:rPr>
              <w:fldChar w:fldCharType="begin"/>
            </w:r>
            <w:r w:rsidR="00A3618D">
              <w:rPr>
                <w:noProof/>
                <w:webHidden/>
              </w:rPr>
              <w:instrText xml:space="preserve"> PAGEREF _Toc177052114 \h </w:instrText>
            </w:r>
            <w:r w:rsidR="00A3618D">
              <w:rPr>
                <w:noProof/>
                <w:webHidden/>
              </w:rPr>
            </w:r>
            <w:r w:rsidR="00A3618D">
              <w:rPr>
                <w:noProof/>
                <w:webHidden/>
              </w:rPr>
              <w:fldChar w:fldCharType="separate"/>
            </w:r>
            <w:r w:rsidR="00A3618D">
              <w:rPr>
                <w:noProof/>
                <w:webHidden/>
              </w:rPr>
              <w:t>35</w:t>
            </w:r>
            <w:r w:rsidR="00A3618D">
              <w:rPr>
                <w:noProof/>
                <w:webHidden/>
              </w:rPr>
              <w:fldChar w:fldCharType="end"/>
            </w:r>
          </w:hyperlink>
        </w:p>
        <w:p w14:paraId="6CBC0C58" w14:textId="531129D8"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15" w:history="1">
            <w:r w:rsidR="00A3618D" w:rsidRPr="00B03552">
              <w:rPr>
                <w:rStyle w:val="Lienhypertexte"/>
                <w:noProof/>
              </w:rPr>
              <w:t>11.1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_Toc177052115 \h </w:instrText>
            </w:r>
            <w:r w:rsidR="00A3618D">
              <w:rPr>
                <w:noProof/>
                <w:webHidden/>
              </w:rPr>
            </w:r>
            <w:r w:rsidR="00A3618D">
              <w:rPr>
                <w:noProof/>
                <w:webHidden/>
              </w:rPr>
              <w:fldChar w:fldCharType="separate"/>
            </w:r>
            <w:r w:rsidR="00A3618D">
              <w:rPr>
                <w:noProof/>
                <w:webHidden/>
              </w:rPr>
              <w:t>35</w:t>
            </w:r>
            <w:r w:rsidR="00A3618D">
              <w:rPr>
                <w:noProof/>
                <w:webHidden/>
              </w:rPr>
              <w:fldChar w:fldCharType="end"/>
            </w:r>
          </w:hyperlink>
        </w:p>
        <w:p w14:paraId="053284E8" w14:textId="3DD7E8B4"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16" w:history="1">
            <w:r w:rsidR="00A3618D" w:rsidRPr="00B03552">
              <w:rPr>
                <w:rStyle w:val="Lienhypertexte"/>
                <w:noProof/>
              </w:rPr>
              <w:t>11.2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aides à l’agriculture et aux industries agro-alimentaires</w:t>
            </w:r>
            <w:r w:rsidR="00A3618D">
              <w:rPr>
                <w:noProof/>
                <w:webHidden/>
              </w:rPr>
              <w:tab/>
            </w:r>
            <w:r w:rsidR="00A3618D">
              <w:rPr>
                <w:noProof/>
                <w:webHidden/>
              </w:rPr>
              <w:fldChar w:fldCharType="begin"/>
            </w:r>
            <w:r w:rsidR="00A3618D">
              <w:rPr>
                <w:noProof/>
                <w:webHidden/>
              </w:rPr>
              <w:instrText xml:space="preserve"> PAGEREF _Toc177052116 \h </w:instrText>
            </w:r>
            <w:r w:rsidR="00A3618D">
              <w:rPr>
                <w:noProof/>
                <w:webHidden/>
              </w:rPr>
            </w:r>
            <w:r w:rsidR="00A3618D">
              <w:rPr>
                <w:noProof/>
                <w:webHidden/>
              </w:rPr>
              <w:fldChar w:fldCharType="separate"/>
            </w:r>
            <w:r w:rsidR="00A3618D">
              <w:rPr>
                <w:noProof/>
                <w:webHidden/>
              </w:rPr>
              <w:t>36</w:t>
            </w:r>
            <w:r w:rsidR="00A3618D">
              <w:rPr>
                <w:noProof/>
                <w:webHidden/>
              </w:rPr>
              <w:fldChar w:fldCharType="end"/>
            </w:r>
          </w:hyperlink>
        </w:p>
        <w:p w14:paraId="7E217259" w14:textId="2137B520"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17" w:history="1">
            <w:r w:rsidR="00A3618D" w:rsidRPr="00B03552">
              <w:rPr>
                <w:rStyle w:val="Lienhypertexte"/>
                <w:noProof/>
              </w:rPr>
              <w:t>11.3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Restauration collective</w:t>
            </w:r>
            <w:r w:rsidR="00A3618D">
              <w:rPr>
                <w:noProof/>
                <w:webHidden/>
              </w:rPr>
              <w:tab/>
            </w:r>
            <w:r w:rsidR="00A3618D">
              <w:rPr>
                <w:noProof/>
                <w:webHidden/>
              </w:rPr>
              <w:fldChar w:fldCharType="begin"/>
            </w:r>
            <w:r w:rsidR="00A3618D">
              <w:rPr>
                <w:noProof/>
                <w:webHidden/>
              </w:rPr>
              <w:instrText xml:space="preserve"> PAGEREF _Toc177052117 \h </w:instrText>
            </w:r>
            <w:r w:rsidR="00A3618D">
              <w:rPr>
                <w:noProof/>
                <w:webHidden/>
              </w:rPr>
            </w:r>
            <w:r w:rsidR="00A3618D">
              <w:rPr>
                <w:noProof/>
                <w:webHidden/>
              </w:rPr>
              <w:fldChar w:fldCharType="separate"/>
            </w:r>
            <w:r w:rsidR="00A3618D">
              <w:rPr>
                <w:noProof/>
                <w:webHidden/>
              </w:rPr>
              <w:t>36</w:t>
            </w:r>
            <w:r w:rsidR="00A3618D">
              <w:rPr>
                <w:noProof/>
                <w:webHidden/>
              </w:rPr>
              <w:fldChar w:fldCharType="end"/>
            </w:r>
          </w:hyperlink>
        </w:p>
        <w:p w14:paraId="642CB7C4" w14:textId="25AB97D6"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18" w:history="1">
            <w:r w:rsidR="00A3618D" w:rsidRPr="00B03552">
              <w:rPr>
                <w:rStyle w:val="Lienhypertexte"/>
                <w:noProof/>
              </w:rPr>
              <w:t>11.3.1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écoles maternelles, primaires, collèges et lycées</w:t>
            </w:r>
            <w:r w:rsidR="00A3618D">
              <w:rPr>
                <w:noProof/>
                <w:webHidden/>
              </w:rPr>
              <w:tab/>
            </w:r>
            <w:r w:rsidR="00A3618D">
              <w:rPr>
                <w:noProof/>
                <w:webHidden/>
              </w:rPr>
              <w:fldChar w:fldCharType="begin"/>
            </w:r>
            <w:r w:rsidR="00A3618D">
              <w:rPr>
                <w:noProof/>
                <w:webHidden/>
              </w:rPr>
              <w:instrText xml:space="preserve"> PAGEREF _Toc177052118 \h </w:instrText>
            </w:r>
            <w:r w:rsidR="00A3618D">
              <w:rPr>
                <w:noProof/>
                <w:webHidden/>
              </w:rPr>
            </w:r>
            <w:r w:rsidR="00A3618D">
              <w:rPr>
                <w:noProof/>
                <w:webHidden/>
              </w:rPr>
              <w:fldChar w:fldCharType="separate"/>
            </w:r>
            <w:r w:rsidR="00A3618D">
              <w:rPr>
                <w:noProof/>
                <w:webHidden/>
              </w:rPr>
              <w:t>36</w:t>
            </w:r>
            <w:r w:rsidR="00A3618D">
              <w:rPr>
                <w:noProof/>
                <w:webHidden/>
              </w:rPr>
              <w:fldChar w:fldCharType="end"/>
            </w:r>
          </w:hyperlink>
        </w:p>
        <w:p w14:paraId="2292C8B9" w14:textId="0B6FD279"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19" w:history="1">
            <w:r w:rsidR="00A3618D" w:rsidRPr="00B03552">
              <w:rPr>
                <w:rStyle w:val="Lienhypertexte"/>
                <w:noProof/>
              </w:rPr>
              <w:t>11.3.2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EHPAD (Établissement d'Hébergement pour Personnes Agées Dépendantes)</w:t>
            </w:r>
            <w:r w:rsidR="00A3618D">
              <w:rPr>
                <w:noProof/>
                <w:webHidden/>
              </w:rPr>
              <w:tab/>
            </w:r>
            <w:r w:rsidR="00A3618D">
              <w:rPr>
                <w:noProof/>
                <w:webHidden/>
              </w:rPr>
              <w:fldChar w:fldCharType="begin"/>
            </w:r>
            <w:r w:rsidR="00A3618D">
              <w:rPr>
                <w:noProof/>
                <w:webHidden/>
              </w:rPr>
              <w:instrText xml:space="preserve"> PAGEREF _Toc177052119 \h </w:instrText>
            </w:r>
            <w:r w:rsidR="00A3618D">
              <w:rPr>
                <w:noProof/>
                <w:webHidden/>
              </w:rPr>
            </w:r>
            <w:r w:rsidR="00A3618D">
              <w:rPr>
                <w:noProof/>
                <w:webHidden/>
              </w:rPr>
              <w:fldChar w:fldCharType="separate"/>
            </w:r>
            <w:r w:rsidR="00A3618D">
              <w:rPr>
                <w:noProof/>
                <w:webHidden/>
              </w:rPr>
              <w:t>37</w:t>
            </w:r>
            <w:r w:rsidR="00A3618D">
              <w:rPr>
                <w:noProof/>
                <w:webHidden/>
              </w:rPr>
              <w:fldChar w:fldCharType="end"/>
            </w:r>
          </w:hyperlink>
        </w:p>
        <w:p w14:paraId="742B37F9" w14:textId="2D7C9909" w:rsidR="00A3618D" w:rsidRDefault="008F025D">
          <w:pPr>
            <w:pStyle w:val="TM3"/>
            <w:tabs>
              <w:tab w:val="left" w:pos="1100"/>
              <w:tab w:val="right" w:leader="dot" w:pos="9628"/>
            </w:tabs>
            <w:rPr>
              <w:rFonts w:asciiTheme="minorHAnsi" w:eastAsiaTheme="minorEastAsia" w:hAnsiTheme="minorHAnsi" w:cstheme="minorBidi"/>
              <w:noProof/>
              <w:color w:val="auto"/>
              <w:kern w:val="2"/>
              <w:sz w:val="24"/>
              <w:szCs w:val="24"/>
              <w:lang w:eastAsia="fr-FR"/>
              <w14:ligatures w14:val="standardContextual"/>
            </w:rPr>
          </w:pPr>
          <w:hyperlink w:anchor="_Toc177052120" w:history="1">
            <w:r w:rsidR="00A3618D" w:rsidRPr="00B03552">
              <w:rPr>
                <w:rStyle w:val="Lienhypertexte"/>
                <w:noProof/>
              </w:rPr>
              <w:t>11.3.3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Approximation par l’inflation</w:t>
            </w:r>
            <w:r w:rsidR="00A3618D">
              <w:rPr>
                <w:noProof/>
                <w:webHidden/>
              </w:rPr>
              <w:tab/>
            </w:r>
            <w:r w:rsidR="00A3618D">
              <w:rPr>
                <w:noProof/>
                <w:webHidden/>
              </w:rPr>
              <w:fldChar w:fldCharType="begin"/>
            </w:r>
            <w:r w:rsidR="00A3618D">
              <w:rPr>
                <w:noProof/>
                <w:webHidden/>
              </w:rPr>
              <w:instrText xml:space="preserve"> PAGEREF _Toc177052120 \h </w:instrText>
            </w:r>
            <w:r w:rsidR="00A3618D">
              <w:rPr>
                <w:noProof/>
                <w:webHidden/>
              </w:rPr>
            </w:r>
            <w:r w:rsidR="00A3618D">
              <w:rPr>
                <w:noProof/>
                <w:webHidden/>
              </w:rPr>
              <w:fldChar w:fldCharType="separate"/>
            </w:r>
            <w:r w:rsidR="00A3618D">
              <w:rPr>
                <w:noProof/>
                <w:webHidden/>
              </w:rPr>
              <w:t>38</w:t>
            </w:r>
            <w:r w:rsidR="00A3618D">
              <w:rPr>
                <w:noProof/>
                <w:webHidden/>
              </w:rPr>
              <w:fldChar w:fldCharType="end"/>
            </w:r>
          </w:hyperlink>
        </w:p>
        <w:p w14:paraId="390F3256" w14:textId="3D54C0CE"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21" w:history="1">
            <w:r w:rsidR="00A3618D" w:rsidRPr="00B03552">
              <w:rPr>
                <w:rStyle w:val="Lienhypertexte"/>
                <w:noProof/>
              </w:rPr>
              <w:t>11.4</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Aide alimentaire</w:t>
            </w:r>
            <w:r w:rsidR="00A3618D">
              <w:rPr>
                <w:noProof/>
                <w:webHidden/>
              </w:rPr>
              <w:tab/>
            </w:r>
            <w:r w:rsidR="00A3618D">
              <w:rPr>
                <w:noProof/>
                <w:webHidden/>
              </w:rPr>
              <w:fldChar w:fldCharType="begin"/>
            </w:r>
            <w:r w:rsidR="00A3618D">
              <w:rPr>
                <w:noProof/>
                <w:webHidden/>
              </w:rPr>
              <w:instrText xml:space="preserve"> PAGEREF _Toc177052121 \h </w:instrText>
            </w:r>
            <w:r w:rsidR="00A3618D">
              <w:rPr>
                <w:noProof/>
                <w:webHidden/>
              </w:rPr>
            </w:r>
            <w:r w:rsidR="00A3618D">
              <w:rPr>
                <w:noProof/>
                <w:webHidden/>
              </w:rPr>
              <w:fldChar w:fldCharType="separate"/>
            </w:r>
            <w:r w:rsidR="00A3618D">
              <w:rPr>
                <w:noProof/>
                <w:webHidden/>
              </w:rPr>
              <w:t>38</w:t>
            </w:r>
            <w:r w:rsidR="00A3618D">
              <w:rPr>
                <w:noProof/>
                <w:webHidden/>
              </w:rPr>
              <w:fldChar w:fldCharType="end"/>
            </w:r>
          </w:hyperlink>
        </w:p>
        <w:p w14:paraId="170ACFDB" w14:textId="6B118A6A"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22" w:history="1">
            <w:r w:rsidR="00A3618D" w:rsidRPr="00B03552">
              <w:rPr>
                <w:rStyle w:val="Lienhypertexte"/>
                <w:noProof/>
              </w:rPr>
              <w:t>11.5</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_Toc177052122 \h </w:instrText>
            </w:r>
            <w:r w:rsidR="00A3618D">
              <w:rPr>
                <w:noProof/>
                <w:webHidden/>
              </w:rPr>
            </w:r>
            <w:r w:rsidR="00A3618D">
              <w:rPr>
                <w:noProof/>
                <w:webHidden/>
              </w:rPr>
              <w:fldChar w:fldCharType="separate"/>
            </w:r>
            <w:r w:rsidR="00A3618D">
              <w:rPr>
                <w:noProof/>
                <w:webHidden/>
              </w:rPr>
              <w:t>38</w:t>
            </w:r>
            <w:r w:rsidR="00A3618D">
              <w:rPr>
                <w:noProof/>
                <w:webHidden/>
              </w:rPr>
              <w:fldChar w:fldCharType="end"/>
            </w:r>
          </w:hyperlink>
        </w:p>
        <w:p w14:paraId="14D4CA65" w14:textId="3053F212"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123" w:history="1">
            <w:r w:rsidR="00A3618D" w:rsidRPr="00B03552">
              <w:rPr>
                <w:rStyle w:val="Lienhypertexte"/>
                <w:noProof/>
              </w:rPr>
              <w:t>12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Les Agences de l’eau</w:t>
            </w:r>
            <w:r w:rsidR="00A3618D">
              <w:rPr>
                <w:noProof/>
                <w:webHidden/>
              </w:rPr>
              <w:tab/>
            </w:r>
            <w:r w:rsidR="00A3618D">
              <w:rPr>
                <w:noProof/>
                <w:webHidden/>
              </w:rPr>
              <w:fldChar w:fldCharType="begin"/>
            </w:r>
            <w:r w:rsidR="00A3618D">
              <w:rPr>
                <w:noProof/>
                <w:webHidden/>
              </w:rPr>
              <w:instrText xml:space="preserve"> PAGEREF _Toc177052123 \h </w:instrText>
            </w:r>
            <w:r w:rsidR="00A3618D">
              <w:rPr>
                <w:noProof/>
                <w:webHidden/>
              </w:rPr>
            </w:r>
            <w:r w:rsidR="00A3618D">
              <w:rPr>
                <w:noProof/>
                <w:webHidden/>
              </w:rPr>
              <w:fldChar w:fldCharType="separate"/>
            </w:r>
            <w:r w:rsidR="00A3618D">
              <w:rPr>
                <w:noProof/>
                <w:webHidden/>
              </w:rPr>
              <w:t>39</w:t>
            </w:r>
            <w:r w:rsidR="00A3618D">
              <w:rPr>
                <w:noProof/>
                <w:webHidden/>
              </w:rPr>
              <w:fldChar w:fldCharType="end"/>
            </w:r>
          </w:hyperlink>
        </w:p>
        <w:p w14:paraId="42654342" w14:textId="60E6DD31"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24" w:history="1">
            <w:r w:rsidR="00A3618D" w:rsidRPr="00B03552">
              <w:rPr>
                <w:rStyle w:val="Lienhypertexte"/>
                <w:noProof/>
              </w:rPr>
              <w:t>12.1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Présentation générale et sources principales des données</w:t>
            </w:r>
            <w:r w:rsidR="00A3618D">
              <w:rPr>
                <w:noProof/>
                <w:webHidden/>
              </w:rPr>
              <w:tab/>
            </w:r>
            <w:r w:rsidR="00A3618D">
              <w:rPr>
                <w:noProof/>
                <w:webHidden/>
              </w:rPr>
              <w:fldChar w:fldCharType="begin"/>
            </w:r>
            <w:r w:rsidR="00A3618D">
              <w:rPr>
                <w:noProof/>
                <w:webHidden/>
              </w:rPr>
              <w:instrText xml:space="preserve"> PAGEREF _Toc177052124 \h </w:instrText>
            </w:r>
            <w:r w:rsidR="00A3618D">
              <w:rPr>
                <w:noProof/>
                <w:webHidden/>
              </w:rPr>
            </w:r>
            <w:r w:rsidR="00A3618D">
              <w:rPr>
                <w:noProof/>
                <w:webHidden/>
              </w:rPr>
              <w:fldChar w:fldCharType="separate"/>
            </w:r>
            <w:r w:rsidR="00A3618D">
              <w:rPr>
                <w:noProof/>
                <w:webHidden/>
              </w:rPr>
              <w:t>39</w:t>
            </w:r>
            <w:r w:rsidR="00A3618D">
              <w:rPr>
                <w:noProof/>
                <w:webHidden/>
              </w:rPr>
              <w:fldChar w:fldCharType="end"/>
            </w:r>
          </w:hyperlink>
        </w:p>
        <w:p w14:paraId="41D20827" w14:textId="61FB945F"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25" w:history="1">
            <w:r w:rsidR="00A3618D" w:rsidRPr="00B03552">
              <w:rPr>
                <w:rStyle w:val="Lienhypertexte"/>
                <w:noProof/>
              </w:rPr>
              <w:t>12.2</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Données manquantes et limites</w:t>
            </w:r>
            <w:r w:rsidR="00A3618D">
              <w:rPr>
                <w:noProof/>
                <w:webHidden/>
              </w:rPr>
              <w:tab/>
            </w:r>
            <w:r w:rsidR="00A3618D">
              <w:rPr>
                <w:noProof/>
                <w:webHidden/>
              </w:rPr>
              <w:fldChar w:fldCharType="begin"/>
            </w:r>
            <w:r w:rsidR="00A3618D">
              <w:rPr>
                <w:noProof/>
                <w:webHidden/>
              </w:rPr>
              <w:instrText xml:space="preserve"> PAGEREF _Toc177052125 \h </w:instrText>
            </w:r>
            <w:r w:rsidR="00A3618D">
              <w:rPr>
                <w:noProof/>
                <w:webHidden/>
              </w:rPr>
            </w:r>
            <w:r w:rsidR="00A3618D">
              <w:rPr>
                <w:noProof/>
                <w:webHidden/>
              </w:rPr>
              <w:fldChar w:fldCharType="separate"/>
            </w:r>
            <w:r w:rsidR="00A3618D">
              <w:rPr>
                <w:noProof/>
                <w:webHidden/>
              </w:rPr>
              <w:t>39</w:t>
            </w:r>
            <w:r w:rsidR="00A3618D">
              <w:rPr>
                <w:noProof/>
                <w:webHidden/>
              </w:rPr>
              <w:fldChar w:fldCharType="end"/>
            </w:r>
          </w:hyperlink>
        </w:p>
        <w:p w14:paraId="318F9D74" w14:textId="6E19662B" w:rsidR="00A3618D" w:rsidRDefault="008F025D">
          <w:pPr>
            <w:pStyle w:val="TM1"/>
            <w:tabs>
              <w:tab w:val="left" w:pos="660"/>
            </w:tabs>
            <w:rPr>
              <w:rFonts w:asciiTheme="minorHAnsi" w:eastAsiaTheme="minorEastAsia" w:hAnsiTheme="minorHAnsi" w:cstheme="minorBidi"/>
              <w:noProof/>
              <w:color w:val="auto"/>
              <w:kern w:val="2"/>
              <w:sz w:val="24"/>
              <w:szCs w:val="24"/>
              <w:lang w:eastAsia="fr-FR"/>
              <w14:ligatures w14:val="standardContextual"/>
            </w:rPr>
          </w:pPr>
          <w:hyperlink w:anchor="_Toc177052126" w:history="1">
            <w:r w:rsidR="00A3618D" w:rsidRPr="00B03552">
              <w:rPr>
                <w:rStyle w:val="Lienhypertexte"/>
                <w:noProof/>
              </w:rPr>
              <w:t>13</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Annexes</w:t>
            </w:r>
            <w:r w:rsidR="00A3618D">
              <w:rPr>
                <w:noProof/>
                <w:webHidden/>
              </w:rPr>
              <w:tab/>
            </w:r>
            <w:r w:rsidR="00A3618D">
              <w:rPr>
                <w:noProof/>
                <w:webHidden/>
              </w:rPr>
              <w:fldChar w:fldCharType="begin"/>
            </w:r>
            <w:r w:rsidR="00A3618D">
              <w:rPr>
                <w:noProof/>
                <w:webHidden/>
              </w:rPr>
              <w:instrText xml:space="preserve"> PAGEREF _Toc177052126 \h </w:instrText>
            </w:r>
            <w:r w:rsidR="00A3618D">
              <w:rPr>
                <w:noProof/>
                <w:webHidden/>
              </w:rPr>
            </w:r>
            <w:r w:rsidR="00A3618D">
              <w:rPr>
                <w:noProof/>
                <w:webHidden/>
              </w:rPr>
              <w:fldChar w:fldCharType="separate"/>
            </w:r>
            <w:r w:rsidR="00A3618D">
              <w:rPr>
                <w:noProof/>
                <w:webHidden/>
              </w:rPr>
              <w:t>40</w:t>
            </w:r>
            <w:r w:rsidR="00A3618D">
              <w:rPr>
                <w:noProof/>
                <w:webHidden/>
              </w:rPr>
              <w:fldChar w:fldCharType="end"/>
            </w:r>
          </w:hyperlink>
        </w:p>
        <w:p w14:paraId="6D984A72" w14:textId="5F83D49E" w:rsidR="00A3618D" w:rsidRDefault="008F025D">
          <w:pPr>
            <w:pStyle w:val="TM2"/>
            <w:rPr>
              <w:rFonts w:asciiTheme="minorHAnsi" w:eastAsiaTheme="minorEastAsia" w:hAnsiTheme="minorHAnsi" w:cstheme="minorBidi"/>
              <w:noProof/>
              <w:color w:val="auto"/>
              <w:kern w:val="2"/>
              <w:sz w:val="24"/>
              <w:szCs w:val="24"/>
              <w:lang w:eastAsia="fr-FR"/>
              <w14:ligatures w14:val="standardContextual"/>
            </w:rPr>
          </w:pPr>
          <w:hyperlink w:anchor="_Toc177052127" w:history="1">
            <w:r w:rsidR="00A3618D" w:rsidRPr="00B03552">
              <w:rPr>
                <w:rStyle w:val="Lienhypertexte"/>
                <w:noProof/>
              </w:rPr>
              <w:t>13.1</w:t>
            </w:r>
            <w:r w:rsidR="00A3618D">
              <w:rPr>
                <w:rFonts w:asciiTheme="minorHAnsi" w:eastAsiaTheme="minorEastAsia" w:hAnsiTheme="minorHAnsi" w:cstheme="minorBidi"/>
                <w:noProof/>
                <w:color w:val="auto"/>
                <w:kern w:val="2"/>
                <w:sz w:val="24"/>
                <w:szCs w:val="24"/>
                <w:lang w:eastAsia="fr-FR"/>
                <w14:ligatures w14:val="standardContextual"/>
              </w:rPr>
              <w:tab/>
            </w:r>
            <w:r w:rsidR="00A3618D" w:rsidRPr="00B03552">
              <w:rPr>
                <w:rStyle w:val="Lienhypertexte"/>
                <w:noProof/>
              </w:rPr>
              <w:t>Détail des bénéficiaires</w:t>
            </w:r>
            <w:r w:rsidR="00A3618D">
              <w:rPr>
                <w:noProof/>
                <w:webHidden/>
              </w:rPr>
              <w:tab/>
            </w:r>
            <w:r w:rsidR="00A3618D">
              <w:rPr>
                <w:noProof/>
                <w:webHidden/>
              </w:rPr>
              <w:fldChar w:fldCharType="begin"/>
            </w:r>
            <w:r w:rsidR="00A3618D">
              <w:rPr>
                <w:noProof/>
                <w:webHidden/>
              </w:rPr>
              <w:instrText xml:space="preserve"> PAGEREF _Toc177052127 \h </w:instrText>
            </w:r>
            <w:r w:rsidR="00A3618D">
              <w:rPr>
                <w:noProof/>
                <w:webHidden/>
              </w:rPr>
            </w:r>
            <w:r w:rsidR="00A3618D">
              <w:rPr>
                <w:noProof/>
                <w:webHidden/>
              </w:rPr>
              <w:fldChar w:fldCharType="separate"/>
            </w:r>
            <w:r w:rsidR="00A3618D">
              <w:rPr>
                <w:noProof/>
                <w:webHidden/>
              </w:rPr>
              <w:t>40</w:t>
            </w:r>
            <w:r w:rsidR="00A3618D">
              <w:rPr>
                <w:noProof/>
                <w:webHidden/>
              </w:rPr>
              <w:fldChar w:fldCharType="end"/>
            </w:r>
          </w:hyperlink>
        </w:p>
        <w:p w14:paraId="6377CE91" w14:textId="066CF96B" w:rsidR="008635BA" w:rsidRDefault="00D60F7C" w:rsidP="2572423D">
          <w:pPr>
            <w:pStyle w:val="TM1"/>
            <w:tabs>
              <w:tab w:val="clear" w:pos="9628"/>
              <w:tab w:val="left" w:pos="435"/>
              <w:tab w:val="right" w:leader="dot" w:pos="9630"/>
            </w:tabs>
            <w:rPr>
              <w:rStyle w:val="Lienhypertexte"/>
              <w:noProof/>
              <w:kern w:val="2"/>
              <w:lang w:eastAsia="fr-FR"/>
              <w14:ligatures w14:val="standardContextual"/>
            </w:rPr>
          </w:pPr>
          <w:r>
            <w:fldChar w:fldCharType="end"/>
          </w:r>
        </w:p>
      </w:sdtContent>
    </w:sdt>
    <w:p w14:paraId="3441ED9C" w14:textId="78D0DC0A" w:rsidR="520A432B" w:rsidRDefault="520A432B" w:rsidP="520A432B">
      <w:pPr>
        <w:pStyle w:val="TM1"/>
        <w:tabs>
          <w:tab w:val="clear" w:pos="9628"/>
          <w:tab w:val="left" w:pos="435"/>
          <w:tab w:val="right" w:leader="dot" w:pos="9630"/>
        </w:tabs>
        <w:rPr>
          <w:rStyle w:val="Lienhypertexte"/>
        </w:rPr>
      </w:pPr>
    </w:p>
    <w:p w14:paraId="7C42405C" w14:textId="6DC8D143" w:rsidR="00F5422D" w:rsidRDefault="00F5422D"/>
    <w:p w14:paraId="4932C121" w14:textId="77777777" w:rsidR="00F5422D" w:rsidRDefault="00F5422D" w:rsidP="006107D7"/>
    <w:p w14:paraId="02FF7701" w14:textId="77777777" w:rsidR="00F5422D" w:rsidRDefault="00F5422D" w:rsidP="006107D7"/>
    <w:p w14:paraId="168B81A0" w14:textId="77777777" w:rsidR="00F5422D" w:rsidRDefault="00F5422D" w:rsidP="006107D7"/>
    <w:p w14:paraId="5CBB8728" w14:textId="77777777" w:rsidR="00F5422D" w:rsidRDefault="00F5422D" w:rsidP="006107D7"/>
    <w:p w14:paraId="3810EEF8" w14:textId="77777777" w:rsidR="00F5422D" w:rsidRPr="006107D7" w:rsidRDefault="00F5422D" w:rsidP="006107D7"/>
    <w:p w14:paraId="427C9485" w14:textId="4E60F314" w:rsidR="00DC7C5E" w:rsidRPr="008635BA" w:rsidRDefault="00F5422D" w:rsidP="008635BA">
      <w:pPr>
        <w:spacing w:line="259" w:lineRule="auto"/>
        <w:jc w:val="left"/>
        <w:rPr>
          <w:rFonts w:ascii="Source Sans Pro SemiBold" w:hAnsi="Source Sans Pro SemiBold"/>
          <w:bCs/>
          <w:sz w:val="44"/>
          <w:szCs w:val="24"/>
        </w:rPr>
      </w:pPr>
      <w:r>
        <w:br w:type="page"/>
      </w:r>
    </w:p>
    <w:p w14:paraId="6A7B5618" w14:textId="04233D22" w:rsidR="00A24D57" w:rsidRDefault="3A98DE35" w:rsidP="5F487394">
      <w:pPr>
        <w:pStyle w:val="Titre1"/>
      </w:pPr>
      <w:bookmarkStart w:id="0" w:name="_Toc271737787"/>
      <w:bookmarkStart w:id="1" w:name="_Toc177052046"/>
      <w:r>
        <w:lastRenderedPageBreak/>
        <w:t>En bref</w:t>
      </w:r>
      <w:bookmarkStart w:id="2" w:name="_Toc164263633"/>
      <w:bookmarkEnd w:id="0"/>
      <w:bookmarkEnd w:id="2"/>
      <w:bookmarkEnd w:id="1"/>
    </w:p>
    <w:p w14:paraId="16E66854" w14:textId="6BED5B8B" w:rsidR="00A24D57" w:rsidRPr="001B6CA9" w:rsidRDefault="30E21B63" w:rsidP="001B6CA9">
      <w:pPr>
        <w:pStyle w:val="Titre2"/>
      </w:pPr>
      <w:bookmarkStart w:id="3" w:name="_Toc1423716219"/>
      <w:bookmarkStart w:id="4" w:name="_Ref164951406"/>
      <w:bookmarkStart w:id="5" w:name="_Toc177052047"/>
      <w:r w:rsidRPr="001B6CA9">
        <w:t>Objectifs</w:t>
      </w:r>
      <w:bookmarkEnd w:id="3"/>
      <w:bookmarkEnd w:id="4"/>
      <w:bookmarkEnd w:id="5"/>
      <w:r w:rsidRPr="001B6CA9">
        <w:t xml:space="preserve"> </w:t>
      </w:r>
    </w:p>
    <w:p w14:paraId="38BFC182" w14:textId="6A167C66" w:rsidR="00922745" w:rsidRPr="00BB2538" w:rsidRDefault="00A24D57" w:rsidP="00A24D57">
      <w:pPr>
        <w:rPr>
          <w:rStyle w:val="ui-provider"/>
        </w:rPr>
      </w:pPr>
      <w:r w:rsidRPr="00BB2538">
        <w:rPr>
          <w:rStyle w:val="ui-provider"/>
        </w:rPr>
        <w:t xml:space="preserve">Objectif : </w:t>
      </w:r>
      <w:r w:rsidR="7C2B277B" w:rsidRPr="00BB2538">
        <w:rPr>
          <w:rStyle w:val="ui-provider"/>
        </w:rPr>
        <w:t xml:space="preserve">recenser et </w:t>
      </w:r>
      <w:r w:rsidR="2053AA34" w:rsidRPr="00BB2538">
        <w:rPr>
          <w:rStyle w:val="ui-provider"/>
        </w:rPr>
        <w:t xml:space="preserve">coder </w:t>
      </w:r>
      <w:r w:rsidRPr="00BB2538">
        <w:rPr>
          <w:rStyle w:val="ui-provider"/>
        </w:rPr>
        <w:t>les dépenses publiques dédiées au système alimentaire français</w:t>
      </w:r>
      <w:r w:rsidR="69345EFE" w:rsidRPr="00BB2538">
        <w:rPr>
          <w:rStyle w:val="ui-provider"/>
        </w:rPr>
        <w:t xml:space="preserve"> pour permettre une analyse quantitative</w:t>
      </w:r>
      <w:r w:rsidR="002372A4" w:rsidRPr="00BB2538">
        <w:rPr>
          <w:rStyle w:val="ui-provider"/>
        </w:rPr>
        <w:t>.</w:t>
      </w:r>
      <w:r w:rsidR="10D3B6F1" w:rsidRPr="00BB2538">
        <w:rPr>
          <w:rStyle w:val="ui-provider"/>
        </w:rPr>
        <w:t xml:space="preserve"> Deux étapes donc :</w:t>
      </w:r>
    </w:p>
    <w:p w14:paraId="41387611" w14:textId="7521686F" w:rsidR="002372A4" w:rsidRPr="006558B9" w:rsidRDefault="1A03B730">
      <w:pPr>
        <w:pStyle w:val="Paragraphedeliste"/>
        <w:numPr>
          <w:ilvl w:val="0"/>
          <w:numId w:val="21"/>
        </w:numPr>
        <w:spacing w:beforeAutospacing="1" w:after="120"/>
        <w:jc w:val="left"/>
        <w:rPr>
          <w:rFonts w:eastAsiaTheme="minorEastAsia" w:cstheme="minorBidi"/>
          <w:lang w:eastAsia="fr-FR"/>
        </w:rPr>
      </w:pPr>
      <w:r w:rsidRPr="006558B9">
        <w:rPr>
          <w:rFonts w:eastAsiaTheme="minorEastAsia" w:cstheme="minorBidi"/>
          <w:b/>
        </w:rPr>
        <w:t xml:space="preserve">Collecte des montants </w:t>
      </w:r>
      <w:r w:rsidRPr="006558B9">
        <w:rPr>
          <w:rFonts w:eastAsiaTheme="minorEastAsia" w:cstheme="minorBidi"/>
          <w:lang w:eastAsia="fr-FR"/>
        </w:rPr>
        <w:t>de</w:t>
      </w:r>
      <w:r w:rsidR="002372A4" w:rsidRPr="006558B9">
        <w:rPr>
          <w:rFonts w:eastAsiaTheme="minorEastAsia" w:cstheme="minorBidi"/>
          <w:lang w:eastAsia="fr-FR"/>
        </w:rPr>
        <w:t xml:space="preserve"> dépenses publiques </w:t>
      </w:r>
      <w:r w:rsidR="6B881D59" w:rsidRPr="00BB2538">
        <w:rPr>
          <w:rFonts w:eastAsiaTheme="minorEastAsia" w:cstheme="minorBidi"/>
          <w:lang w:eastAsia="fr-FR"/>
        </w:rPr>
        <w:t xml:space="preserve">(prévisionnelles et </w:t>
      </w:r>
      <w:r w:rsidR="5AF1F175" w:rsidRPr="00BB2538">
        <w:rPr>
          <w:rFonts w:eastAsiaTheme="minorEastAsia" w:cstheme="minorBidi"/>
          <w:lang w:eastAsia="fr-FR"/>
        </w:rPr>
        <w:t>exécutées</w:t>
      </w:r>
      <w:r w:rsidR="6B881D59" w:rsidRPr="00BB2538">
        <w:rPr>
          <w:rFonts w:eastAsiaTheme="minorEastAsia" w:cstheme="minorBidi"/>
          <w:lang w:eastAsia="fr-FR"/>
        </w:rPr>
        <w:t xml:space="preserve">) </w:t>
      </w:r>
      <w:r w:rsidR="002372A4" w:rsidRPr="006558B9">
        <w:rPr>
          <w:rFonts w:eastAsiaTheme="minorEastAsia" w:cstheme="minorBidi"/>
          <w:lang w:eastAsia="fr-FR"/>
        </w:rPr>
        <w:t>dédiées au système alimentaire français</w:t>
      </w:r>
      <w:r w:rsidR="6A4F8FCD" w:rsidRPr="006558B9">
        <w:rPr>
          <w:rFonts w:eastAsiaTheme="minorEastAsia" w:cstheme="minorBidi"/>
          <w:lang w:eastAsia="fr-FR"/>
        </w:rPr>
        <w:t xml:space="preserve"> </w:t>
      </w:r>
      <w:r w:rsidR="10DECAAA" w:rsidRPr="006558B9">
        <w:rPr>
          <w:rFonts w:eastAsiaTheme="minorEastAsia" w:cstheme="minorBidi"/>
          <w:lang w:eastAsia="fr-FR"/>
        </w:rPr>
        <w:t>sur les années 2018</w:t>
      </w:r>
      <w:r w:rsidR="30958248" w:rsidRPr="00BB2538">
        <w:rPr>
          <w:rFonts w:eastAsiaTheme="minorEastAsia" w:cstheme="minorBidi"/>
          <w:lang w:eastAsia="fr-FR"/>
        </w:rPr>
        <w:t xml:space="preserve"> à</w:t>
      </w:r>
      <w:r w:rsidR="10DECAAA" w:rsidRPr="006558B9">
        <w:rPr>
          <w:rFonts w:eastAsiaTheme="minorEastAsia" w:cstheme="minorBidi"/>
          <w:lang w:eastAsia="fr-FR"/>
        </w:rPr>
        <w:t xml:space="preserve"> 2024</w:t>
      </w:r>
      <w:r w:rsidR="51643FED" w:rsidRPr="00BB2538">
        <w:rPr>
          <w:rFonts w:eastAsiaTheme="minorEastAsia" w:cstheme="minorBidi"/>
          <w:lang w:eastAsia="fr-FR"/>
        </w:rPr>
        <w:t>.</w:t>
      </w:r>
    </w:p>
    <w:p w14:paraId="3AC22E70" w14:textId="122DD419" w:rsidR="03D259D2" w:rsidRDefault="651CC0C6">
      <w:pPr>
        <w:pStyle w:val="Paragraphedeliste"/>
        <w:numPr>
          <w:ilvl w:val="0"/>
          <w:numId w:val="21"/>
        </w:numPr>
        <w:spacing w:beforeAutospacing="1" w:after="120"/>
        <w:jc w:val="left"/>
        <w:rPr>
          <w:rFonts w:eastAsia="Times New Roman" w:cs="Times New Roman"/>
          <w:lang w:eastAsia="fr-FR"/>
        </w:rPr>
      </w:pPr>
      <w:r w:rsidRPr="006558B9">
        <w:rPr>
          <w:rFonts w:eastAsiaTheme="minorEastAsia" w:cstheme="minorBidi"/>
          <w:b/>
          <w:bCs/>
        </w:rPr>
        <w:t xml:space="preserve">Codage </w:t>
      </w:r>
      <w:r w:rsidR="4419C72D" w:rsidRPr="006558B9">
        <w:rPr>
          <w:rFonts w:eastAsiaTheme="minorEastAsia" w:cstheme="minorBidi"/>
          <w:b/>
          <w:bCs/>
        </w:rPr>
        <w:t>analytique</w:t>
      </w:r>
      <w:r w:rsidR="4419C72D" w:rsidRPr="15D9C05A">
        <w:rPr>
          <w:rFonts w:eastAsia="Times New Roman" w:cs="Times New Roman"/>
          <w:b/>
          <w:bCs/>
          <w:lang w:eastAsia="fr-FR"/>
        </w:rPr>
        <w:t xml:space="preserve"> </w:t>
      </w:r>
      <w:r w:rsidRPr="006558B9">
        <w:rPr>
          <w:rFonts w:eastAsiaTheme="minorEastAsia" w:cstheme="minorBidi"/>
          <w:lang w:eastAsia="fr-FR"/>
        </w:rPr>
        <w:t xml:space="preserve">de chaque dépense, </w:t>
      </w:r>
      <w:r w:rsidR="65E9C3A0" w:rsidRPr="006558B9">
        <w:rPr>
          <w:rFonts w:eastAsiaTheme="minorEastAsia" w:cstheme="minorBidi"/>
          <w:lang w:eastAsia="fr-FR"/>
        </w:rPr>
        <w:t>en</w:t>
      </w:r>
      <w:r w:rsidR="65E9C3A0" w:rsidRPr="15D9C05A">
        <w:rPr>
          <w:rFonts w:eastAsia="Times New Roman" w:cs="Times New Roman"/>
          <w:lang w:eastAsia="fr-FR"/>
        </w:rPr>
        <w:t xml:space="preserve"> vue</w:t>
      </w:r>
      <w:r w:rsidRPr="15D9C05A">
        <w:rPr>
          <w:rFonts w:eastAsia="Times New Roman" w:cs="Times New Roman"/>
          <w:lang w:eastAsia="fr-FR"/>
        </w:rPr>
        <w:t xml:space="preserve"> de réaliser différentes analyses quantitatives</w:t>
      </w:r>
      <w:r w:rsidR="728BC3A1" w:rsidRPr="15D9C05A">
        <w:rPr>
          <w:rFonts w:eastAsia="Times New Roman" w:cs="Times New Roman"/>
          <w:lang w:eastAsia="fr-FR"/>
        </w:rPr>
        <w:t>.</w:t>
      </w:r>
    </w:p>
    <w:p w14:paraId="416826A8" w14:textId="77777777" w:rsidR="00DC50CE" w:rsidRPr="00BB2538" w:rsidRDefault="00DC50CE" w:rsidP="00DC50CE">
      <w:pPr>
        <w:pStyle w:val="Paragraphedeliste"/>
        <w:spacing w:beforeAutospacing="1" w:after="120"/>
        <w:jc w:val="left"/>
        <w:rPr>
          <w:rFonts w:eastAsia="Times New Roman" w:cs="Times New Roman"/>
          <w:lang w:eastAsia="fr-FR"/>
        </w:rPr>
      </w:pPr>
    </w:p>
    <w:p w14:paraId="3F4C0176" w14:textId="04352F28" w:rsidR="008F2939" w:rsidRPr="00A24D57" w:rsidRDefault="008F2939" w:rsidP="001B6CA9">
      <w:pPr>
        <w:pStyle w:val="Titre2"/>
      </w:pPr>
      <w:bookmarkStart w:id="6" w:name="_Toc1833783936"/>
      <w:bookmarkStart w:id="7" w:name="_Toc177052048"/>
      <w:r w:rsidRPr="001B6CA9">
        <w:t>Périmètre</w:t>
      </w:r>
      <w:bookmarkEnd w:id="6"/>
      <w:bookmarkEnd w:id="7"/>
    </w:p>
    <w:p w14:paraId="70A7EC95" w14:textId="5FD33772" w:rsidR="2D76A8DF" w:rsidRDefault="2D76A8DF">
      <w:r w:rsidRPr="72E39276">
        <w:rPr>
          <w:b/>
          <w:bCs/>
        </w:rPr>
        <w:t>Système alimentaire</w:t>
      </w:r>
      <w:r w:rsidR="161A7D4B" w:rsidRPr="3B6A7B61">
        <w:rPr>
          <w:b/>
          <w:bCs/>
        </w:rPr>
        <w:t xml:space="preserve"> </w:t>
      </w:r>
      <w:r w:rsidR="161A7D4B" w:rsidRPr="3902F10E">
        <w:rPr>
          <w:b/>
          <w:bCs/>
        </w:rPr>
        <w:t>français</w:t>
      </w:r>
      <w:r w:rsidRPr="72E39276">
        <w:rPr>
          <w:b/>
          <w:bCs/>
        </w:rPr>
        <w:t xml:space="preserve"> :</w:t>
      </w:r>
      <w:r w:rsidR="49C6FC6F">
        <w:t xml:space="preserve"> </w:t>
      </w:r>
    </w:p>
    <w:p w14:paraId="54D5C255" w14:textId="3D8AE862" w:rsidR="2D76A8DF" w:rsidRDefault="1B7393FB">
      <w:pPr>
        <w:pStyle w:val="Paragraphedeliste"/>
        <w:numPr>
          <w:ilvl w:val="0"/>
          <w:numId w:val="23"/>
        </w:numPr>
      </w:pPr>
      <w:r>
        <w:t>L</w:t>
      </w:r>
      <w:r w:rsidR="20D19E79">
        <w:t xml:space="preserve">es </w:t>
      </w:r>
      <w:r w:rsidR="49C6FC6F">
        <w:t xml:space="preserve">limites du </w:t>
      </w:r>
      <w:r w:rsidR="49C6FC6F" w:rsidRPr="006558B9">
        <w:rPr>
          <w:b/>
        </w:rPr>
        <w:t>système alimentaire</w:t>
      </w:r>
      <w:r w:rsidR="49C6FC6F">
        <w:t xml:space="preserve"> </w:t>
      </w:r>
      <w:r w:rsidR="1BFF7B07">
        <w:t>sont</w:t>
      </w:r>
      <w:r w:rsidR="49C6FC6F">
        <w:t xml:space="preserve"> nécessairement </w:t>
      </w:r>
      <w:r w:rsidR="39E70C91">
        <w:t>sujet</w:t>
      </w:r>
      <w:r w:rsidR="572DDF4B">
        <w:t xml:space="preserve">tes </w:t>
      </w:r>
      <w:r w:rsidR="39E70C91">
        <w:t>à débat, car non consensuel</w:t>
      </w:r>
      <w:r w:rsidR="5CC4E1D8">
        <w:t>les</w:t>
      </w:r>
      <w:r w:rsidR="39E70C91">
        <w:t xml:space="preserve">. Nous avons </w:t>
      </w:r>
      <w:r w:rsidR="68929FEC">
        <w:t>ici</w:t>
      </w:r>
      <w:r w:rsidR="39E70C91">
        <w:t xml:space="preserve"> fait le choix de retenir </w:t>
      </w:r>
      <w:r w:rsidR="3A962C1D">
        <w:t>:</w:t>
      </w:r>
      <w:r w:rsidR="39E70C91">
        <w:t xml:space="preserve"> les </w:t>
      </w:r>
      <w:r w:rsidR="7566F37B">
        <w:t xml:space="preserve">entités privées </w:t>
      </w:r>
      <w:r w:rsidR="39E70C91">
        <w:t>directement impliqués dans les chaînes de valeur des produits agricoles et alimentaires</w:t>
      </w:r>
      <w:r w:rsidR="6C856CD8">
        <w:t xml:space="preserve"> (notamment les</w:t>
      </w:r>
      <w:r w:rsidR="39E70C91">
        <w:t xml:space="preserve"> producteurs des principaux intrants spécifiques à la production agricole)</w:t>
      </w:r>
      <w:r w:rsidR="4B709D3C">
        <w:t>, les ménages,</w:t>
      </w:r>
      <w:r w:rsidR="39E70C91">
        <w:t xml:space="preserve"> et </w:t>
      </w:r>
      <w:r w:rsidR="4B709D3C">
        <w:t>les institutions publiques liées au système alimentaire</w:t>
      </w:r>
      <w:r w:rsidR="39E70C91">
        <w:t>.</w:t>
      </w:r>
      <w:r w:rsidR="1AFDFB50">
        <w:t xml:space="preserve"> </w:t>
      </w:r>
      <w:r w:rsidR="6BDB305B">
        <w:t xml:space="preserve">Nous n’incluons pas par exemple la gestion des déchets, la production d’électricité, l’approvisionnement en eau, la production de matériel et logiciels informatiques, etc. </w:t>
      </w:r>
      <w:r w:rsidR="1AFDFB50">
        <w:t>Voir partie</w:t>
      </w:r>
      <w:r w:rsidR="003D6D4D">
        <w:t xml:space="preserve"> </w:t>
      </w:r>
      <w:r w:rsidR="003D6D4D">
        <w:fldChar w:fldCharType="begin"/>
      </w:r>
      <w:r w:rsidR="003D6D4D">
        <w:instrText xml:space="preserve"> REF _Ref164951294 \r \h </w:instrText>
      </w:r>
      <w:r w:rsidR="003D6D4D">
        <w:fldChar w:fldCharType="separate"/>
      </w:r>
      <w:r w:rsidR="003D6D4D">
        <w:t>4.3</w:t>
      </w:r>
      <w:r w:rsidR="003D6D4D">
        <w:fldChar w:fldCharType="end"/>
      </w:r>
      <w:r w:rsidR="1AFDFB50">
        <w:t xml:space="preserve"> pour la liste exhaustive des </w:t>
      </w:r>
      <w:r w:rsidR="6CC1E272">
        <w:t xml:space="preserve">bénéficiaires </w:t>
      </w:r>
      <w:r w:rsidR="1AFDFB50">
        <w:t xml:space="preserve">couverts. </w:t>
      </w:r>
    </w:p>
    <w:p w14:paraId="681DD943" w14:textId="4719C3E1" w:rsidR="2D76A8DF" w:rsidRDefault="2E49F974">
      <w:pPr>
        <w:pStyle w:val="Paragraphedeliste"/>
        <w:numPr>
          <w:ilvl w:val="0"/>
          <w:numId w:val="23"/>
        </w:numPr>
      </w:pPr>
      <w:r>
        <w:t xml:space="preserve">Concernant le caractère </w:t>
      </w:r>
      <w:r w:rsidRPr="006558B9">
        <w:rPr>
          <w:b/>
          <w:bCs/>
        </w:rPr>
        <w:t xml:space="preserve">français </w:t>
      </w:r>
      <w:r>
        <w:t>du système alimentaire, les limites sont là encore difficiles à tracer</w:t>
      </w:r>
      <w:r w:rsidR="4B862E56">
        <w:t xml:space="preserve">. Les inclusions et exclusions sont ici </w:t>
      </w:r>
      <w:r w:rsidR="6AEBE677">
        <w:t xml:space="preserve">principalement </w:t>
      </w:r>
      <w:r w:rsidR="5A10F2B7">
        <w:t xml:space="preserve">motivées par </w:t>
      </w:r>
      <w:r w:rsidR="6AEBE677">
        <w:t xml:space="preserve">des </w:t>
      </w:r>
      <w:r w:rsidR="5A10F2B7">
        <w:t>sujets d’</w:t>
      </w:r>
      <w:r w:rsidR="249D22E1">
        <w:t>accès à l’information</w:t>
      </w:r>
      <w:r>
        <w:t>. Nous incluons par e</w:t>
      </w:r>
      <w:r w:rsidR="6997063E">
        <w:t xml:space="preserve">xemple les soutiens </w:t>
      </w:r>
      <w:r w:rsidR="2F607219">
        <w:t>du budget de l’</w:t>
      </w:r>
      <w:r w:rsidR="00594801">
        <w:t>État</w:t>
      </w:r>
      <w:r w:rsidR="2F607219">
        <w:t xml:space="preserve"> </w:t>
      </w:r>
      <w:r w:rsidR="6997063E">
        <w:t xml:space="preserve">aux filières </w:t>
      </w:r>
      <w:r w:rsidR="2FEDE931">
        <w:t>françaises</w:t>
      </w:r>
      <w:r w:rsidR="6997063E">
        <w:t xml:space="preserve"> à l’export</w:t>
      </w:r>
      <w:r w:rsidR="52C946A1">
        <w:t xml:space="preserve"> ou encore les dépenses de contrôle sanitaire des produits importés</w:t>
      </w:r>
      <w:r w:rsidR="6997063E">
        <w:t>,</w:t>
      </w:r>
      <w:r w:rsidR="3D1CB210">
        <w:t xml:space="preserve"> </w:t>
      </w:r>
      <w:r w:rsidR="2A40CE18">
        <w:t xml:space="preserve">notamment </w:t>
      </w:r>
      <w:r w:rsidR="3D1CB210">
        <w:t xml:space="preserve">car nous disposons de la donnée. </w:t>
      </w:r>
      <w:r w:rsidR="019C750F">
        <w:t>Concernant les soutiens à l’achat de carburant pour le transport de marchandises agricoles et alimentaires, nous n’incluons que les achats réalisés en France</w:t>
      </w:r>
      <w:r w:rsidR="73EE3294">
        <w:t>, car ceux réalisés à l’étranger seraient trop compliqués à inclure.</w:t>
      </w:r>
    </w:p>
    <w:p w14:paraId="2F35089A" w14:textId="77777777" w:rsidR="00833500" w:rsidRDefault="00833500" w:rsidP="00833500">
      <w:pPr>
        <w:pStyle w:val="Paragraphedeliste"/>
      </w:pPr>
    </w:p>
    <w:p w14:paraId="65AD7B01" w14:textId="7342FCD0" w:rsidR="25FD8B2F" w:rsidRDefault="25FD8B2F">
      <w:r w:rsidRPr="6DD317EA">
        <w:rPr>
          <w:b/>
          <w:bCs/>
        </w:rPr>
        <w:t xml:space="preserve">Dépenses publiques : </w:t>
      </w:r>
      <w:r w:rsidR="47E106D7" w:rsidRPr="006558B9">
        <w:t>sont c</w:t>
      </w:r>
      <w:r w:rsidR="47E106D7">
        <w:t>ouvertes toutes les dépenses qui bénéficient directement aux maillons cités ci-dessus, en particulier :</w:t>
      </w:r>
    </w:p>
    <w:p w14:paraId="12440E61" w14:textId="3C5709D3" w:rsidR="2D5A00BA" w:rsidRDefault="2B5B6738">
      <w:pPr>
        <w:pStyle w:val="Paragraphedeliste"/>
        <w:numPr>
          <w:ilvl w:val="0"/>
          <w:numId w:val="22"/>
        </w:numPr>
      </w:pPr>
      <w:r>
        <w:t>D</w:t>
      </w:r>
      <w:r w:rsidR="25FD8B2F">
        <w:t xml:space="preserve">épenses budgétaires </w:t>
      </w:r>
      <w:r w:rsidR="25FD8B2F" w:rsidRPr="006558B9">
        <w:t>à l’échelle d</w:t>
      </w:r>
      <w:r w:rsidR="25FD8B2F">
        <w:t>e l’Union européenne (PAC et autres fonds), de la France (</w:t>
      </w:r>
      <w:r w:rsidR="00594801">
        <w:t>État</w:t>
      </w:r>
      <w:r w:rsidR="25FD8B2F">
        <w:t xml:space="preserve"> et Sécurité sociale), </w:t>
      </w:r>
      <w:r w:rsidR="7CCE32E4">
        <w:t xml:space="preserve">des collectivités territoriales, et des autres </w:t>
      </w:r>
      <w:r w:rsidR="5DF29721">
        <w:t>institutions publiques (Agences de l’eau notamment)</w:t>
      </w:r>
    </w:p>
    <w:p w14:paraId="7FD3F344" w14:textId="698EA4EC" w:rsidR="751DBAC5" w:rsidRDefault="751DBAC5">
      <w:pPr>
        <w:pStyle w:val="Paragraphedeliste"/>
        <w:numPr>
          <w:ilvl w:val="0"/>
          <w:numId w:val="22"/>
        </w:numPr>
      </w:pPr>
      <w:r>
        <w:t xml:space="preserve">Dépenses fiscales et sociales, c’est à dire </w:t>
      </w:r>
      <w:r w:rsidR="67130F22">
        <w:t>les manques à gagner pour les budgets de l’</w:t>
      </w:r>
      <w:r w:rsidR="00594801">
        <w:t>État</w:t>
      </w:r>
      <w:r w:rsidR="67130F22">
        <w:t xml:space="preserve"> et de la Sécurité sociale liés respectivement</w:t>
      </w:r>
      <w:r>
        <w:t xml:space="preserve"> à des exonérations d’impôts et de taxes ou de cotisations sociales. Sont couvertes à la fois les</w:t>
      </w:r>
      <w:r w:rsidR="23B94C83">
        <w:t xml:space="preserve"> exonérations </w:t>
      </w:r>
      <w:r w:rsidR="23B94C83" w:rsidRPr="006558B9">
        <w:rPr>
          <w:i/>
          <w:iCs/>
        </w:rPr>
        <w:t xml:space="preserve">spécifiques </w:t>
      </w:r>
      <w:r w:rsidR="23B94C83">
        <w:t>aux acteurs du système alimentaire (réduction de taxe sur le gazole non routier agricole, dégrèvement pour les jeunes agriculteurs, etc.) et les</w:t>
      </w:r>
      <w:r>
        <w:t xml:space="preserve"> exonérations </w:t>
      </w:r>
      <w:r w:rsidRPr="006558B9">
        <w:rPr>
          <w:i/>
          <w:iCs/>
        </w:rPr>
        <w:t xml:space="preserve">généralistes </w:t>
      </w:r>
      <w:r>
        <w:t xml:space="preserve">(crédit d’impôt recherche, </w:t>
      </w:r>
      <w:r w:rsidR="694840E4">
        <w:t xml:space="preserve">réduction des cotisations patronales, etc.) </w:t>
      </w:r>
      <w:r w:rsidR="11F1AB72">
        <w:t>bénéficiant donc en partie aux acteurs du système alimentaire</w:t>
      </w:r>
      <w:r w:rsidR="36C9CCE9">
        <w:t>. Exception pour les ménages : seules les exonérations fiscales ou sociales spécifiques à leur consommation alimentaire sont couvertes</w:t>
      </w:r>
      <w:r w:rsidR="4E615EE1">
        <w:t xml:space="preserve"> (par exemple les exonérations liées aux titres restaurants)</w:t>
      </w:r>
      <w:r w:rsidR="36C9CCE9">
        <w:t xml:space="preserve">, les exonérations généralistes à leur bénéfice ne le sont pas (par exemple la réduction d’impôt sur les dons aux associations).  </w:t>
      </w:r>
    </w:p>
    <w:p w14:paraId="6AD0F358" w14:textId="5FFB985E" w:rsidR="00B7127C" w:rsidRDefault="00B7127C" w:rsidP="00B7127C">
      <w:pPr>
        <w:pStyle w:val="Paragraphedeliste"/>
      </w:pPr>
    </w:p>
    <w:p w14:paraId="641EE7AE" w14:textId="6A2FB117" w:rsidR="0D568FAA" w:rsidRDefault="0D568FAA" w:rsidP="4863C7A7">
      <w:r>
        <w:lastRenderedPageBreak/>
        <w:t xml:space="preserve">A noter </w:t>
      </w:r>
      <w:r w:rsidR="356181E3">
        <w:t>que</w:t>
      </w:r>
      <w:r>
        <w:t xml:space="preserve"> nous ne couvrons pas les prêts aidés (prêts à taux </w:t>
      </w:r>
      <w:r w:rsidR="76E003A6">
        <w:t>avantageux,</w:t>
      </w:r>
      <w:r>
        <w:t xml:space="preserve"> garanties publiques</w:t>
      </w:r>
      <w:r w:rsidR="2DEDA090">
        <w:t xml:space="preserve"> et autres</w:t>
      </w:r>
      <w:r>
        <w:t xml:space="preserve">) </w:t>
      </w:r>
      <w:r w:rsidR="667D5B25">
        <w:t>car les montants ne sont pas comparables à des dépenses budgétaires ou aux manques à gagner des exonérations.</w:t>
      </w:r>
    </w:p>
    <w:p w14:paraId="1E7FB8C8" w14:textId="185980D7" w:rsidR="001928A8" w:rsidRDefault="1A571149" w:rsidP="000D7DB1">
      <w:r>
        <w:t>A noter également que des financements comme le RSA ou la compensation de la caisse de retraite des agriculteurs par la caisse générale ne sont pas pris en compte ici : il ne s’agit pas de soutiens à l’</w:t>
      </w:r>
      <w:r w:rsidR="5F2F2003">
        <w:t>entité</w:t>
      </w:r>
      <w:r>
        <w:t xml:space="preserve"> privée “exploitation agricole”, mais des </w:t>
      </w:r>
      <w:r w:rsidR="704F39C5">
        <w:t>soutiens à des individus</w:t>
      </w:r>
      <w:r w:rsidR="6BC1EE81">
        <w:t xml:space="preserve"> autres que des soutiens à la consommation alimentaire des ménages</w:t>
      </w:r>
      <w:r w:rsidR="704F39C5">
        <w:t>.</w:t>
      </w:r>
      <w:r>
        <w:t xml:space="preserve"> </w:t>
      </w:r>
      <w:r w:rsidR="4617A442">
        <w:t xml:space="preserve"> Ce type de soutiens aux </w:t>
      </w:r>
      <w:r w:rsidR="4617A442" w:rsidRPr="007A151C">
        <w:rPr>
          <w:b/>
          <w:bCs/>
        </w:rPr>
        <w:t>entités non productrices</w:t>
      </w:r>
      <w:r w:rsidR="4617A442">
        <w:t xml:space="preserve"> </w:t>
      </w:r>
      <w:r w:rsidR="003D7249">
        <w:t>es</w:t>
      </w:r>
      <w:r w:rsidR="4617A442">
        <w:t>t notamment inclus dans le travail mené en parallèle par le BASIC sur les coûts sociétaux.</w:t>
      </w:r>
    </w:p>
    <w:p w14:paraId="1F58B6C2" w14:textId="3E6AF7BD" w:rsidR="4351E985" w:rsidRDefault="4351E985" w:rsidP="006558B9">
      <w:pPr>
        <w:pStyle w:val="Titre1"/>
      </w:pPr>
      <w:bookmarkStart w:id="8" w:name="_Toc164263647"/>
      <w:bookmarkStart w:id="9" w:name="_Toc164263648"/>
      <w:bookmarkStart w:id="10" w:name="_Toc164263649"/>
      <w:bookmarkStart w:id="11" w:name="_Toc164263650"/>
      <w:bookmarkStart w:id="12" w:name="_Toc164263651"/>
      <w:bookmarkStart w:id="13" w:name="_Toc164263652"/>
      <w:bookmarkStart w:id="14" w:name="_Toc164263653"/>
      <w:bookmarkStart w:id="15" w:name="_Toc164263654"/>
      <w:bookmarkStart w:id="16" w:name="_Toc1920673944"/>
      <w:bookmarkStart w:id="17" w:name="_Ref164952211"/>
      <w:bookmarkStart w:id="18" w:name="_Toc177052049"/>
      <w:bookmarkEnd w:id="8"/>
      <w:bookmarkEnd w:id="9"/>
      <w:bookmarkEnd w:id="10"/>
      <w:bookmarkEnd w:id="11"/>
      <w:bookmarkEnd w:id="12"/>
      <w:bookmarkEnd w:id="13"/>
      <w:bookmarkEnd w:id="14"/>
      <w:bookmarkEnd w:id="15"/>
      <w:r>
        <w:t xml:space="preserve">Méthodologie </w:t>
      </w:r>
      <w:r w:rsidR="6C0A9C99">
        <w:t xml:space="preserve">générale </w:t>
      </w:r>
      <w:r>
        <w:t>de collecte des montants de dépense</w:t>
      </w:r>
      <w:bookmarkEnd w:id="16"/>
      <w:bookmarkEnd w:id="17"/>
      <w:bookmarkEnd w:id="18"/>
    </w:p>
    <w:p w14:paraId="2D9B61C2" w14:textId="1AD1A340" w:rsidR="1712DA40" w:rsidRDefault="214E6266" w:rsidP="001B6CA9">
      <w:pPr>
        <w:pStyle w:val="Titre2"/>
      </w:pPr>
      <w:bookmarkStart w:id="19" w:name="_Toc1743659574"/>
      <w:bookmarkStart w:id="20" w:name="_Toc177052050"/>
      <w:r>
        <w:t>Collecte des données brutes</w:t>
      </w:r>
      <w:bookmarkEnd w:id="19"/>
      <w:bookmarkEnd w:id="20"/>
    </w:p>
    <w:p w14:paraId="5CE08CB3" w14:textId="564FE2CE" w:rsidR="4C96106E" w:rsidRDefault="556C1F2E" w:rsidP="594B513F">
      <w:r>
        <w:t>La collecte des données de dépenses publiques est réalisée autant que possible à partir des documents budgétaires publics aux niveaux de granularité les plus fins. Notre collecte, et les choix d’</w:t>
      </w:r>
      <w:r w:rsidR="4C96106E">
        <w:t xml:space="preserve">inclusions et </w:t>
      </w:r>
      <w:r w:rsidR="6A106674">
        <w:t>d’</w:t>
      </w:r>
      <w:r w:rsidR="4C96106E">
        <w:t>exclusions sont a</w:t>
      </w:r>
      <w:r w:rsidR="7165AA08">
        <w:t xml:space="preserve">insi </w:t>
      </w:r>
      <w:r w:rsidR="4C96106E">
        <w:t xml:space="preserve">assez dépendants de la qualité et de la granularité de l’information </w:t>
      </w:r>
      <w:r w:rsidR="00566FB0">
        <w:t>disponible</w:t>
      </w:r>
      <w:r w:rsidR="4C96106E">
        <w:t xml:space="preserve">. </w:t>
      </w:r>
    </w:p>
    <w:p w14:paraId="72073D78" w14:textId="5FFFE329" w:rsidR="4C96106E" w:rsidRDefault="5EB9572D" w:rsidP="594B513F">
      <w:r>
        <w:t xml:space="preserve">Il arrive ainsi cependant assez fréquemment que la donnée </w:t>
      </w:r>
      <w:r w:rsidR="44736F97">
        <w:t xml:space="preserve">ne soit pas fiable, ne concerne pas uniquement le système alimentaire, ou soit incomplète. Nous décrivons dans les sous-parties suivantes les stratégies que nous employons dans ces </w:t>
      </w:r>
      <w:r w:rsidR="37AD732D">
        <w:t>cas-là</w:t>
      </w:r>
      <w:r w:rsidR="44736F97">
        <w:t>.</w:t>
      </w:r>
      <w:r w:rsidR="332BD432">
        <w:t xml:space="preserve"> </w:t>
      </w:r>
    </w:p>
    <w:p w14:paraId="1E67AEEB" w14:textId="27C68EBD" w:rsidR="00833500" w:rsidRDefault="0B3F8298" w:rsidP="32F7784F">
      <w:r w:rsidRPr="00235565">
        <w:t xml:space="preserve">Au total, nous avons recensé les montants prévisionnels et exécutés de </w:t>
      </w:r>
      <w:r w:rsidR="00235565" w:rsidRPr="00235565">
        <w:t>1231</w:t>
      </w:r>
      <w:r w:rsidRPr="00235565">
        <w:t xml:space="preserve"> lignes</w:t>
      </w:r>
      <w:r>
        <w:t xml:space="preserve"> de dépenses</w:t>
      </w:r>
      <w:r w:rsidR="2EC780C5">
        <w:t>. Cette collecte s’est faite</w:t>
      </w:r>
      <w:r>
        <w:t xml:space="preserve"> sur la période 20</w:t>
      </w:r>
      <w:r w:rsidR="00626F2D">
        <w:t>1</w:t>
      </w:r>
      <w:r>
        <w:t>8 à 2024</w:t>
      </w:r>
      <w:r w:rsidR="23FD8F99">
        <w:t xml:space="preserve">, avec une collecte complète sur les années </w:t>
      </w:r>
      <w:r w:rsidR="3EE45F1D">
        <w:t>2018, 2021 et 2024</w:t>
      </w:r>
      <w:r w:rsidR="7DAF5A55">
        <w:t>, et incomplète (tout sauf les dépenses budgétaires de l’</w:t>
      </w:r>
      <w:r w:rsidR="00594801">
        <w:t>État</w:t>
      </w:r>
      <w:r w:rsidR="7DAF5A55">
        <w:t>) pour les autres</w:t>
      </w:r>
      <w:r w:rsidR="3EE45F1D">
        <w:t>. Cette collecte a été réalisée de juillet 2023 à avril 2024.</w:t>
      </w:r>
    </w:p>
    <w:p w14:paraId="295462D4" w14:textId="2AA8A30E" w:rsidR="00D01393" w:rsidRDefault="53B7F4A9" w:rsidP="001B6CA9">
      <w:pPr>
        <w:pStyle w:val="Titre2"/>
      </w:pPr>
      <w:bookmarkStart w:id="21" w:name="_Toc164263657"/>
      <w:bookmarkStart w:id="22" w:name="_Toc1491710744"/>
      <w:bookmarkStart w:id="23" w:name="_Ref164951816"/>
      <w:bookmarkStart w:id="24" w:name="_Ref164952008"/>
      <w:bookmarkStart w:id="25" w:name="_Ref164952038"/>
      <w:bookmarkStart w:id="26" w:name="_Ref164952285"/>
      <w:bookmarkStart w:id="27" w:name="_Ref177050249"/>
      <w:bookmarkStart w:id="28" w:name="_Toc177052051"/>
      <w:bookmarkEnd w:id="21"/>
      <w:r>
        <w:t>Le cas des dépenses perçues par des bénéficiaires différents, appartenant partiellement ou en totalité au système alimentaire</w:t>
      </w:r>
      <w:r w:rsidR="2D87678F">
        <w:t xml:space="preserve"> : la</w:t>
      </w:r>
      <w:r w:rsidR="6C8C6BEF">
        <w:t xml:space="preserve"> proratisation</w:t>
      </w:r>
      <w:bookmarkEnd w:id="22"/>
      <w:bookmarkEnd w:id="23"/>
      <w:bookmarkEnd w:id="24"/>
      <w:bookmarkEnd w:id="25"/>
      <w:bookmarkEnd w:id="26"/>
      <w:bookmarkEnd w:id="27"/>
      <w:bookmarkEnd w:id="28"/>
    </w:p>
    <w:p w14:paraId="1FF7645F" w14:textId="4A60562C" w:rsidR="00FD224B" w:rsidRDefault="7F365C93" w:rsidP="37DF53CA">
      <w:r>
        <w:t>Comme évoqué précédemment</w:t>
      </w:r>
      <w:r w:rsidR="00255A71">
        <w:t xml:space="preserve">, </w:t>
      </w:r>
      <w:r w:rsidR="300888E9">
        <w:t>il arrive souvent qu’une</w:t>
      </w:r>
      <w:r w:rsidR="00255A71">
        <w:t xml:space="preserve"> </w:t>
      </w:r>
      <w:r w:rsidR="065C84F2">
        <w:t xml:space="preserve">dépense </w:t>
      </w:r>
      <w:r w:rsidR="00FD224B">
        <w:t xml:space="preserve">concerne </w:t>
      </w:r>
      <w:r w:rsidR="7D0D4511">
        <w:t xml:space="preserve">plusieurs </w:t>
      </w:r>
      <w:r w:rsidR="00FD224B">
        <w:t>secteurs</w:t>
      </w:r>
      <w:r w:rsidR="00255A71">
        <w:t xml:space="preserve">, </w:t>
      </w:r>
      <w:r w:rsidR="749D56A7">
        <w:t>sans q</w:t>
      </w:r>
      <w:r w:rsidR="206D83B8">
        <w:t>ue</w:t>
      </w:r>
      <w:r w:rsidR="7269FB05">
        <w:t xml:space="preserve"> </w:t>
      </w:r>
      <w:r w:rsidR="206D83B8">
        <w:t xml:space="preserve">la donnée ventilée par secteur </w:t>
      </w:r>
      <w:r w:rsidR="06C6F56E">
        <w:t xml:space="preserve">ne soit </w:t>
      </w:r>
      <w:r w:rsidR="00FD224B">
        <w:t xml:space="preserve">disponible </w:t>
      </w:r>
      <w:r w:rsidR="71664209">
        <w:t>ou</w:t>
      </w:r>
      <w:r w:rsidR="00FD224B">
        <w:t xml:space="preserve"> publique.</w:t>
      </w:r>
      <w:r w:rsidR="00A60874">
        <w:t xml:space="preserve"> </w:t>
      </w:r>
      <w:r w:rsidR="20A3405D">
        <w:t>C’est</w:t>
      </w:r>
      <w:r w:rsidR="003412DE">
        <w:t xml:space="preserve"> le </w:t>
      </w:r>
      <w:r w:rsidR="20A3405D">
        <w:t>cas par exemple</w:t>
      </w:r>
      <w:r w:rsidR="5E98EB83">
        <w:t xml:space="preserve"> des </w:t>
      </w:r>
      <w:r w:rsidR="20A3405D">
        <w:t xml:space="preserve">aides d’urgence de 2021 liées aux mesures de lutte contre la </w:t>
      </w:r>
      <w:r w:rsidR="00DC15B9">
        <w:t>COVID</w:t>
      </w:r>
      <w:r w:rsidR="20A3405D">
        <w:t>-19, dont la ventilation par secteur d’activité n’est pas fournie dans les documents budgétaires publics de l’</w:t>
      </w:r>
      <w:r w:rsidR="00594801">
        <w:t>État</w:t>
      </w:r>
      <w:r w:rsidR="20A3405D">
        <w:t xml:space="preserve">. Dans de tels cas, nous cherchons d’éventuelles autres sources de données ou de littérature (pour les aides </w:t>
      </w:r>
      <w:r w:rsidR="00DC15B9">
        <w:t>COVID</w:t>
      </w:r>
      <w:r w:rsidR="20A3405D">
        <w:t>, nous nous basons sur les données ESANE de subventions d’exploitation), ou bien des variables permettant de proratiser ces montants agrégés</w:t>
      </w:r>
      <w:r w:rsidR="1019AA56">
        <w:t>.</w:t>
      </w:r>
    </w:p>
    <w:p w14:paraId="0C768BE5" w14:textId="7C1C3D92" w:rsidR="00FD224B" w:rsidRDefault="1019AA56" w:rsidP="008F277B">
      <w:pPr>
        <w:rPr>
          <w:b/>
        </w:rPr>
      </w:pPr>
      <w:r>
        <w:t>L’idée est</w:t>
      </w:r>
      <w:r w:rsidR="5E98EB83">
        <w:t xml:space="preserve"> de</w:t>
      </w:r>
      <w:r w:rsidR="003412DE">
        <w:t xml:space="preserve"> </w:t>
      </w:r>
      <w:r w:rsidR="00A60874">
        <w:t xml:space="preserve">ventiler des montants </w:t>
      </w:r>
      <w:r w:rsidR="003412DE">
        <w:t>globaux</w:t>
      </w:r>
      <w:r w:rsidR="00A60874">
        <w:t xml:space="preserve"> sur les secteurs </w:t>
      </w:r>
      <w:r w:rsidR="003412DE">
        <w:t>en lien avec</w:t>
      </w:r>
      <w:r w:rsidR="00A60874">
        <w:t xml:space="preserve"> l’alimentaire</w:t>
      </w:r>
      <w:r w:rsidR="137EB8BE">
        <w:t xml:space="preserve"> sur la base d’</w:t>
      </w:r>
      <w:r w:rsidR="00A60874">
        <w:t xml:space="preserve">une </w:t>
      </w:r>
      <w:r w:rsidR="00A60874" w:rsidRPr="2C47ADFD">
        <w:rPr>
          <w:b/>
          <w:bCs/>
        </w:rPr>
        <w:t>règle de proratisation</w:t>
      </w:r>
      <w:r w:rsidR="00A60874">
        <w:t>.</w:t>
      </w:r>
      <w:r w:rsidR="20B04F8B">
        <w:t xml:space="preserve"> Ce principe est notamment utilisé pour les </w:t>
      </w:r>
      <w:r w:rsidR="20B04F8B" w:rsidRPr="51C543BF">
        <w:rPr>
          <w:b/>
          <w:bCs/>
        </w:rPr>
        <w:t>exonérations sociales et fiscales.</w:t>
      </w:r>
    </w:p>
    <w:p w14:paraId="7BD3D363" w14:textId="7314B5FE" w:rsidR="0093228B" w:rsidRDefault="0093228B" w:rsidP="0093228B">
      <w:r>
        <w:t xml:space="preserve">Pour réaliser ces proratisations, nous utilisons fréquemment les données des enquêtes de l’Insee, en particulier l’enquête ESANE sur les entreprises françaises. Nous mettons alors en correspondance la catégorisation des secteurs d’entreprises utilisée par l’Insee (les codes NAF) avec nos catégories de « bénéficiaires ». Les correspondances que nous effectuons sont les suivantes :  </w:t>
      </w:r>
    </w:p>
    <w:tbl>
      <w:tblPr>
        <w:tblW w:w="97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185"/>
        <w:gridCol w:w="1245"/>
        <w:gridCol w:w="1410"/>
        <w:gridCol w:w="510"/>
        <w:gridCol w:w="2505"/>
        <w:gridCol w:w="810"/>
        <w:gridCol w:w="2072"/>
      </w:tblGrid>
      <w:tr w:rsidR="0093228B" w14:paraId="5B32D67D" w14:textId="77777777">
        <w:trPr>
          <w:trHeight w:val="300"/>
        </w:trPr>
        <w:tc>
          <w:tcPr>
            <w:tcW w:w="1185" w:type="dxa"/>
            <w:shd w:val="clear" w:color="auto" w:fill="000000" w:themeFill="text1"/>
            <w:tcMar>
              <w:top w:w="15" w:type="dxa"/>
              <w:left w:w="15" w:type="dxa"/>
              <w:right w:w="15" w:type="dxa"/>
            </w:tcMar>
          </w:tcPr>
          <w:p w14:paraId="0861700F"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Bénéficiaire niv1</w:t>
            </w:r>
          </w:p>
        </w:tc>
        <w:tc>
          <w:tcPr>
            <w:tcW w:w="1245" w:type="dxa"/>
            <w:shd w:val="clear" w:color="auto" w:fill="000000" w:themeFill="text1"/>
            <w:tcMar>
              <w:top w:w="15" w:type="dxa"/>
              <w:left w:w="15" w:type="dxa"/>
              <w:right w:w="15" w:type="dxa"/>
            </w:tcMar>
          </w:tcPr>
          <w:p w14:paraId="1D14A2ED"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Bénéficiaire niv2</w:t>
            </w:r>
          </w:p>
        </w:tc>
        <w:tc>
          <w:tcPr>
            <w:tcW w:w="1410" w:type="dxa"/>
            <w:shd w:val="clear" w:color="auto" w:fill="000000" w:themeFill="text1"/>
            <w:tcMar>
              <w:top w:w="15" w:type="dxa"/>
              <w:left w:w="15" w:type="dxa"/>
              <w:right w:w="15" w:type="dxa"/>
            </w:tcMar>
          </w:tcPr>
          <w:p w14:paraId="3BBB2FC5"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Code NAF n1</w:t>
            </w:r>
          </w:p>
        </w:tc>
        <w:tc>
          <w:tcPr>
            <w:tcW w:w="3015" w:type="dxa"/>
            <w:gridSpan w:val="2"/>
            <w:shd w:val="clear" w:color="auto" w:fill="000000" w:themeFill="text1"/>
            <w:tcMar>
              <w:top w:w="15" w:type="dxa"/>
              <w:left w:w="15" w:type="dxa"/>
              <w:right w:w="15" w:type="dxa"/>
            </w:tcMar>
          </w:tcPr>
          <w:p w14:paraId="172471F5"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Code NAF n2</w:t>
            </w:r>
          </w:p>
        </w:tc>
        <w:tc>
          <w:tcPr>
            <w:tcW w:w="810" w:type="dxa"/>
            <w:shd w:val="clear" w:color="auto" w:fill="000000" w:themeFill="text1"/>
            <w:tcMar>
              <w:top w:w="15" w:type="dxa"/>
              <w:left w:w="15" w:type="dxa"/>
              <w:right w:w="15" w:type="dxa"/>
            </w:tcMar>
          </w:tcPr>
          <w:p w14:paraId="6C34923A"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Prorata alim</w:t>
            </w:r>
          </w:p>
        </w:tc>
        <w:tc>
          <w:tcPr>
            <w:tcW w:w="2072" w:type="dxa"/>
            <w:shd w:val="clear" w:color="auto" w:fill="000000" w:themeFill="text1"/>
            <w:tcMar>
              <w:top w:w="15" w:type="dxa"/>
              <w:left w:w="15" w:type="dxa"/>
              <w:right w:w="15" w:type="dxa"/>
            </w:tcMar>
          </w:tcPr>
          <w:p w14:paraId="37DAAD30" w14:textId="77777777" w:rsidR="0093228B" w:rsidRDefault="0093228B">
            <w:pPr>
              <w:spacing w:after="0"/>
              <w:jc w:val="left"/>
              <w:rPr>
                <w:rFonts w:eastAsia="Source Sans Pro Light" w:cs="Source Sans Pro Light"/>
                <w:color w:val="FFFFFF" w:themeColor="background1"/>
              </w:rPr>
            </w:pPr>
            <w:r w:rsidRPr="710D4647">
              <w:rPr>
                <w:rFonts w:eastAsia="Source Sans Pro Light" w:cs="Source Sans Pro Light"/>
                <w:color w:val="FFFFFF" w:themeColor="background1"/>
              </w:rPr>
              <w:t>Source prorata</w:t>
            </w:r>
          </w:p>
        </w:tc>
      </w:tr>
      <w:tr w:rsidR="0093228B" w14:paraId="0174D33E" w14:textId="77777777">
        <w:trPr>
          <w:trHeight w:val="600"/>
        </w:trPr>
        <w:tc>
          <w:tcPr>
            <w:tcW w:w="1185" w:type="dxa"/>
            <w:tcMar>
              <w:top w:w="15" w:type="dxa"/>
              <w:left w:w="15" w:type="dxa"/>
              <w:right w:w="15" w:type="dxa"/>
            </w:tcMar>
          </w:tcPr>
          <w:p w14:paraId="485B614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lastRenderedPageBreak/>
              <w:t>PRODINTR</w:t>
            </w:r>
          </w:p>
        </w:tc>
        <w:tc>
          <w:tcPr>
            <w:tcW w:w="1245" w:type="dxa"/>
            <w:tcMar>
              <w:top w:w="15" w:type="dxa"/>
              <w:left w:w="15" w:type="dxa"/>
              <w:right w:w="15" w:type="dxa"/>
            </w:tcMar>
          </w:tcPr>
          <w:p w14:paraId="74AF17BC" w14:textId="77777777" w:rsidR="0093228B" w:rsidRDefault="0093228B">
            <w:pPr>
              <w:spacing w:after="0"/>
              <w:rPr>
                <w:rFonts w:eastAsia="Source Sans Pro Light" w:cs="Source Sans Pro Light"/>
                <w:color w:val="000000" w:themeColor="text1"/>
              </w:rPr>
            </w:pPr>
            <w:r w:rsidRPr="5B175412">
              <w:rPr>
                <w:rFonts w:eastAsia="Source Sans Pro Light" w:cs="Source Sans Pro Light"/>
                <w:color w:val="000000" w:themeColor="text1"/>
              </w:rPr>
              <w:t>PROTECVEGE</w:t>
            </w:r>
          </w:p>
          <w:p w14:paraId="7C2E83AD" w14:textId="77777777" w:rsidR="0093228B" w:rsidRDefault="0093228B">
            <w:pPr>
              <w:spacing w:after="0"/>
              <w:jc w:val="left"/>
              <w:rPr>
                <w:rFonts w:eastAsia="Source Sans Pro Light" w:cs="Source Sans Pro Light"/>
                <w:color w:val="000000" w:themeColor="text1"/>
              </w:rPr>
            </w:pPr>
          </w:p>
        </w:tc>
        <w:tc>
          <w:tcPr>
            <w:tcW w:w="1410" w:type="dxa"/>
            <w:tcMar>
              <w:top w:w="15" w:type="dxa"/>
              <w:left w:w="15" w:type="dxa"/>
              <w:right w:w="15" w:type="dxa"/>
            </w:tcMar>
          </w:tcPr>
          <w:p w14:paraId="1F7E71C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Industrie chimique </w:t>
            </w:r>
          </w:p>
        </w:tc>
        <w:tc>
          <w:tcPr>
            <w:tcW w:w="510" w:type="dxa"/>
            <w:tcMar>
              <w:top w:w="15" w:type="dxa"/>
              <w:left w:w="15" w:type="dxa"/>
              <w:right w:w="15" w:type="dxa"/>
            </w:tcMar>
          </w:tcPr>
          <w:p w14:paraId="50DF580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202</w:t>
            </w:r>
          </w:p>
        </w:tc>
        <w:tc>
          <w:tcPr>
            <w:tcW w:w="2505" w:type="dxa"/>
            <w:tcMar>
              <w:top w:w="15" w:type="dxa"/>
              <w:left w:w="15" w:type="dxa"/>
              <w:right w:w="15" w:type="dxa"/>
            </w:tcMar>
          </w:tcPr>
          <w:p w14:paraId="2340C6A2"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pesticides et d'autres produits agrochimiques </w:t>
            </w:r>
          </w:p>
        </w:tc>
        <w:tc>
          <w:tcPr>
            <w:tcW w:w="810" w:type="dxa"/>
            <w:tcMar>
              <w:top w:w="15" w:type="dxa"/>
              <w:left w:w="15" w:type="dxa"/>
              <w:right w:w="15" w:type="dxa"/>
            </w:tcMar>
          </w:tcPr>
          <w:p w14:paraId="0710F04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2FDE627B" w14:textId="77777777" w:rsidR="0093228B" w:rsidRDefault="0093228B">
            <w:pPr>
              <w:jc w:val="left"/>
              <w:rPr>
                <w:rFonts w:eastAsia="Source Sans Pro Light" w:cs="Source Sans Pro Light"/>
              </w:rPr>
            </w:pPr>
          </w:p>
        </w:tc>
      </w:tr>
      <w:tr w:rsidR="0093228B" w14:paraId="5E27AE70" w14:textId="77777777">
        <w:trPr>
          <w:trHeight w:val="300"/>
        </w:trPr>
        <w:tc>
          <w:tcPr>
            <w:tcW w:w="1185" w:type="dxa"/>
            <w:tcMar>
              <w:top w:w="15" w:type="dxa"/>
              <w:left w:w="15" w:type="dxa"/>
              <w:right w:w="15" w:type="dxa"/>
            </w:tcMar>
          </w:tcPr>
          <w:p w14:paraId="79D89AB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PRODINTR</w:t>
            </w:r>
          </w:p>
        </w:tc>
        <w:tc>
          <w:tcPr>
            <w:tcW w:w="1245" w:type="dxa"/>
            <w:tcMar>
              <w:top w:w="15" w:type="dxa"/>
              <w:left w:w="15" w:type="dxa"/>
              <w:right w:w="15" w:type="dxa"/>
            </w:tcMar>
          </w:tcPr>
          <w:p w14:paraId="05B4F46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VETERIN</w:t>
            </w:r>
          </w:p>
        </w:tc>
        <w:tc>
          <w:tcPr>
            <w:tcW w:w="1410" w:type="dxa"/>
            <w:tcMar>
              <w:top w:w="15" w:type="dxa"/>
              <w:left w:w="15" w:type="dxa"/>
              <w:right w:w="15" w:type="dxa"/>
            </w:tcMar>
          </w:tcPr>
          <w:p w14:paraId="0A107A78"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Activités vétérinaires </w:t>
            </w:r>
          </w:p>
        </w:tc>
        <w:tc>
          <w:tcPr>
            <w:tcW w:w="510" w:type="dxa"/>
            <w:tcMar>
              <w:top w:w="15" w:type="dxa"/>
              <w:left w:w="15" w:type="dxa"/>
              <w:right w:w="15" w:type="dxa"/>
            </w:tcMar>
          </w:tcPr>
          <w:p w14:paraId="353714C7"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750</w:t>
            </w:r>
          </w:p>
        </w:tc>
        <w:tc>
          <w:tcPr>
            <w:tcW w:w="2505" w:type="dxa"/>
            <w:tcMar>
              <w:top w:w="15" w:type="dxa"/>
              <w:left w:w="15" w:type="dxa"/>
              <w:right w:w="15" w:type="dxa"/>
            </w:tcMar>
          </w:tcPr>
          <w:p w14:paraId="1D24DF3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Activités vétérinaires </w:t>
            </w:r>
          </w:p>
        </w:tc>
        <w:tc>
          <w:tcPr>
            <w:tcW w:w="810" w:type="dxa"/>
            <w:tcMar>
              <w:top w:w="15" w:type="dxa"/>
              <w:left w:w="15" w:type="dxa"/>
              <w:right w:w="15" w:type="dxa"/>
            </w:tcMar>
          </w:tcPr>
          <w:p w14:paraId="2A937741"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30%</w:t>
            </w:r>
          </w:p>
        </w:tc>
        <w:tc>
          <w:tcPr>
            <w:tcW w:w="2072" w:type="dxa"/>
            <w:tcMar>
              <w:top w:w="15" w:type="dxa"/>
              <w:left w:w="15" w:type="dxa"/>
              <w:right w:w="15" w:type="dxa"/>
            </w:tcMar>
          </w:tcPr>
          <w:p w14:paraId="7652B647" w14:textId="5D92989C" w:rsidR="0093228B" w:rsidRDefault="0093228B">
            <w:pPr>
              <w:spacing w:after="0"/>
              <w:jc w:val="left"/>
              <w:rPr>
                <w:rFonts w:eastAsia="Source Sans Pro Light" w:cs="Source Sans Pro Light"/>
              </w:rPr>
            </w:pPr>
            <w:r w:rsidRPr="710D4647">
              <w:rPr>
                <w:rFonts w:eastAsia="Source Sans Pro Light" w:cs="Source Sans Pro Light"/>
                <w:color w:val="000000" w:themeColor="text1"/>
              </w:rPr>
              <w:t>Part des animaux de rente dans le total des espèces traitées (p11) [</w:t>
            </w:r>
            <w:hyperlink r:id="rId11">
              <w:r w:rsidRPr="710D4647">
                <w:rPr>
                  <w:rStyle w:val="Lienhypertexte"/>
                  <w:rFonts w:eastAsia="Source Sans Pro Light" w:cs="Source Sans Pro Light"/>
                </w:rPr>
                <w:t>source</w:t>
              </w:r>
            </w:hyperlink>
            <w:r w:rsidRPr="710D4647">
              <w:rPr>
                <w:rFonts w:eastAsia="Source Sans Pro Light" w:cs="Source Sans Pro Light"/>
                <w:color w:val="000000" w:themeColor="text1"/>
              </w:rPr>
              <w:t xml:space="preserve">] </w:t>
            </w:r>
          </w:p>
        </w:tc>
      </w:tr>
      <w:tr w:rsidR="0093228B" w14:paraId="42CAFE69" w14:textId="77777777">
        <w:trPr>
          <w:trHeight w:val="900"/>
        </w:trPr>
        <w:tc>
          <w:tcPr>
            <w:tcW w:w="1185" w:type="dxa"/>
            <w:tcMar>
              <w:top w:w="15" w:type="dxa"/>
              <w:left w:w="15" w:type="dxa"/>
              <w:right w:w="15" w:type="dxa"/>
            </w:tcMar>
          </w:tcPr>
          <w:p w14:paraId="335BE73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67C1EB5D"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val="restart"/>
            <w:tcMar>
              <w:top w:w="15" w:type="dxa"/>
              <w:left w:w="15" w:type="dxa"/>
              <w:right w:w="15" w:type="dxa"/>
            </w:tcMar>
          </w:tcPr>
          <w:p w14:paraId="156F4C71" w14:textId="77777777" w:rsidR="0093228B" w:rsidRPr="710D4647"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Industries alimentaires </w:t>
            </w:r>
          </w:p>
        </w:tc>
        <w:tc>
          <w:tcPr>
            <w:tcW w:w="510" w:type="dxa"/>
            <w:tcMar>
              <w:top w:w="15" w:type="dxa"/>
              <w:left w:w="15" w:type="dxa"/>
              <w:right w:w="15" w:type="dxa"/>
            </w:tcMar>
          </w:tcPr>
          <w:p w14:paraId="69D455FA"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101</w:t>
            </w:r>
          </w:p>
        </w:tc>
        <w:tc>
          <w:tcPr>
            <w:tcW w:w="2505" w:type="dxa"/>
            <w:tcMar>
              <w:top w:w="15" w:type="dxa"/>
              <w:left w:w="15" w:type="dxa"/>
              <w:right w:w="15" w:type="dxa"/>
            </w:tcMar>
          </w:tcPr>
          <w:p w14:paraId="11F34A3D"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Transformation et conservation de la viande et préparation de produits à base de viande </w:t>
            </w:r>
          </w:p>
        </w:tc>
        <w:tc>
          <w:tcPr>
            <w:tcW w:w="810" w:type="dxa"/>
            <w:tcMar>
              <w:top w:w="15" w:type="dxa"/>
              <w:left w:w="15" w:type="dxa"/>
              <w:right w:w="15" w:type="dxa"/>
            </w:tcMar>
          </w:tcPr>
          <w:p w14:paraId="3D73C7A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1DBEFBB5" w14:textId="77777777" w:rsidR="0093228B" w:rsidRDefault="0093228B">
            <w:pPr>
              <w:jc w:val="left"/>
              <w:rPr>
                <w:rFonts w:eastAsia="Source Sans Pro Light" w:cs="Source Sans Pro Light"/>
              </w:rPr>
            </w:pPr>
          </w:p>
        </w:tc>
      </w:tr>
      <w:tr w:rsidR="0093228B" w14:paraId="06AA55AE" w14:textId="77777777">
        <w:trPr>
          <w:trHeight w:val="600"/>
        </w:trPr>
        <w:tc>
          <w:tcPr>
            <w:tcW w:w="1185" w:type="dxa"/>
            <w:tcMar>
              <w:top w:w="15" w:type="dxa"/>
              <w:left w:w="15" w:type="dxa"/>
              <w:right w:w="15" w:type="dxa"/>
            </w:tcMar>
          </w:tcPr>
          <w:p w14:paraId="008EC9B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00DCC3C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304F646A" w14:textId="77777777" w:rsidR="0093228B" w:rsidRDefault="0093228B"/>
        </w:tc>
        <w:tc>
          <w:tcPr>
            <w:tcW w:w="510" w:type="dxa"/>
            <w:tcMar>
              <w:top w:w="15" w:type="dxa"/>
              <w:left w:w="15" w:type="dxa"/>
              <w:right w:w="15" w:type="dxa"/>
            </w:tcMar>
          </w:tcPr>
          <w:p w14:paraId="70CC018B"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102</w:t>
            </w:r>
          </w:p>
        </w:tc>
        <w:tc>
          <w:tcPr>
            <w:tcW w:w="2505" w:type="dxa"/>
            <w:tcMar>
              <w:top w:w="15" w:type="dxa"/>
              <w:left w:w="15" w:type="dxa"/>
              <w:right w:w="15" w:type="dxa"/>
            </w:tcMar>
          </w:tcPr>
          <w:p w14:paraId="5D642A8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Transformation et conservation de poisson, de crustacés et de mollusques </w:t>
            </w:r>
          </w:p>
        </w:tc>
        <w:tc>
          <w:tcPr>
            <w:tcW w:w="810" w:type="dxa"/>
            <w:tcMar>
              <w:top w:w="15" w:type="dxa"/>
              <w:left w:w="15" w:type="dxa"/>
              <w:right w:w="15" w:type="dxa"/>
            </w:tcMar>
          </w:tcPr>
          <w:p w14:paraId="66C0EE1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127AA8CC" w14:textId="77777777" w:rsidR="0093228B" w:rsidRDefault="0093228B">
            <w:pPr>
              <w:jc w:val="left"/>
              <w:rPr>
                <w:rFonts w:eastAsia="Source Sans Pro Light" w:cs="Source Sans Pro Light"/>
              </w:rPr>
            </w:pPr>
          </w:p>
        </w:tc>
      </w:tr>
      <w:tr w:rsidR="0093228B" w14:paraId="1782C5A8" w14:textId="77777777">
        <w:trPr>
          <w:trHeight w:val="600"/>
        </w:trPr>
        <w:tc>
          <w:tcPr>
            <w:tcW w:w="1185" w:type="dxa"/>
            <w:tcMar>
              <w:top w:w="15" w:type="dxa"/>
              <w:left w:w="15" w:type="dxa"/>
              <w:right w:w="15" w:type="dxa"/>
            </w:tcMar>
          </w:tcPr>
          <w:p w14:paraId="4FA5B732"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2371E1D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62F1C56D" w14:textId="77777777" w:rsidR="0093228B" w:rsidRDefault="0093228B"/>
        </w:tc>
        <w:tc>
          <w:tcPr>
            <w:tcW w:w="510" w:type="dxa"/>
            <w:tcMar>
              <w:top w:w="15" w:type="dxa"/>
              <w:left w:w="15" w:type="dxa"/>
              <w:right w:w="15" w:type="dxa"/>
            </w:tcMar>
          </w:tcPr>
          <w:p w14:paraId="702FDC02"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103</w:t>
            </w:r>
          </w:p>
        </w:tc>
        <w:tc>
          <w:tcPr>
            <w:tcW w:w="2505" w:type="dxa"/>
            <w:tcMar>
              <w:top w:w="15" w:type="dxa"/>
              <w:left w:w="15" w:type="dxa"/>
              <w:right w:w="15" w:type="dxa"/>
            </w:tcMar>
          </w:tcPr>
          <w:p w14:paraId="77182AC4"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Transformation et conservation de fruits et légumes </w:t>
            </w:r>
          </w:p>
        </w:tc>
        <w:tc>
          <w:tcPr>
            <w:tcW w:w="810" w:type="dxa"/>
            <w:tcMar>
              <w:top w:w="15" w:type="dxa"/>
              <w:left w:w="15" w:type="dxa"/>
              <w:right w:w="15" w:type="dxa"/>
            </w:tcMar>
          </w:tcPr>
          <w:p w14:paraId="752D8CB9"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6F7C8838" w14:textId="77777777" w:rsidR="0093228B" w:rsidRDefault="0093228B">
            <w:pPr>
              <w:jc w:val="left"/>
              <w:rPr>
                <w:rFonts w:eastAsia="Source Sans Pro Light" w:cs="Source Sans Pro Light"/>
              </w:rPr>
            </w:pPr>
          </w:p>
        </w:tc>
      </w:tr>
      <w:tr w:rsidR="0093228B" w14:paraId="2E3C9FFF" w14:textId="77777777">
        <w:trPr>
          <w:trHeight w:val="600"/>
        </w:trPr>
        <w:tc>
          <w:tcPr>
            <w:tcW w:w="1185" w:type="dxa"/>
            <w:tcMar>
              <w:top w:w="15" w:type="dxa"/>
              <w:left w:w="15" w:type="dxa"/>
              <w:right w:w="15" w:type="dxa"/>
            </w:tcMar>
          </w:tcPr>
          <w:p w14:paraId="0EE57482"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13B354BA"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61C63192" w14:textId="77777777" w:rsidR="0093228B" w:rsidRDefault="0093228B"/>
        </w:tc>
        <w:tc>
          <w:tcPr>
            <w:tcW w:w="510" w:type="dxa"/>
            <w:tcMar>
              <w:top w:w="15" w:type="dxa"/>
              <w:left w:w="15" w:type="dxa"/>
              <w:right w:w="15" w:type="dxa"/>
            </w:tcMar>
          </w:tcPr>
          <w:p w14:paraId="0B688B41"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104</w:t>
            </w:r>
          </w:p>
        </w:tc>
        <w:tc>
          <w:tcPr>
            <w:tcW w:w="2505" w:type="dxa"/>
            <w:tcMar>
              <w:top w:w="15" w:type="dxa"/>
              <w:left w:w="15" w:type="dxa"/>
              <w:right w:w="15" w:type="dxa"/>
            </w:tcMar>
          </w:tcPr>
          <w:p w14:paraId="44B2EE9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d'huiles et graisses végétales et animales </w:t>
            </w:r>
          </w:p>
        </w:tc>
        <w:tc>
          <w:tcPr>
            <w:tcW w:w="810" w:type="dxa"/>
            <w:tcMar>
              <w:top w:w="15" w:type="dxa"/>
              <w:left w:w="15" w:type="dxa"/>
              <w:right w:w="15" w:type="dxa"/>
            </w:tcMar>
          </w:tcPr>
          <w:p w14:paraId="1F77F69E"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583CC41E" w14:textId="77777777" w:rsidR="0093228B" w:rsidRDefault="0093228B">
            <w:pPr>
              <w:jc w:val="left"/>
              <w:rPr>
                <w:rFonts w:eastAsia="Source Sans Pro Light" w:cs="Source Sans Pro Light"/>
              </w:rPr>
            </w:pPr>
          </w:p>
        </w:tc>
      </w:tr>
      <w:tr w:rsidR="0093228B" w14:paraId="5EDC3112" w14:textId="77777777">
        <w:trPr>
          <w:trHeight w:val="300"/>
        </w:trPr>
        <w:tc>
          <w:tcPr>
            <w:tcW w:w="1185" w:type="dxa"/>
            <w:tcMar>
              <w:top w:w="15" w:type="dxa"/>
              <w:left w:w="15" w:type="dxa"/>
              <w:right w:w="15" w:type="dxa"/>
            </w:tcMar>
          </w:tcPr>
          <w:p w14:paraId="66D2BF18"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3DF9E42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36B32767" w14:textId="77777777" w:rsidR="0093228B" w:rsidRDefault="0093228B"/>
        </w:tc>
        <w:tc>
          <w:tcPr>
            <w:tcW w:w="510" w:type="dxa"/>
            <w:tcMar>
              <w:top w:w="15" w:type="dxa"/>
              <w:left w:w="15" w:type="dxa"/>
              <w:right w:w="15" w:type="dxa"/>
            </w:tcMar>
          </w:tcPr>
          <w:p w14:paraId="11FB75D5"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105</w:t>
            </w:r>
          </w:p>
        </w:tc>
        <w:tc>
          <w:tcPr>
            <w:tcW w:w="2505" w:type="dxa"/>
            <w:tcMar>
              <w:top w:w="15" w:type="dxa"/>
              <w:left w:w="15" w:type="dxa"/>
              <w:right w:w="15" w:type="dxa"/>
            </w:tcMar>
          </w:tcPr>
          <w:p w14:paraId="76E436EE"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produits laitiers </w:t>
            </w:r>
          </w:p>
        </w:tc>
        <w:tc>
          <w:tcPr>
            <w:tcW w:w="810" w:type="dxa"/>
            <w:tcMar>
              <w:top w:w="15" w:type="dxa"/>
              <w:left w:w="15" w:type="dxa"/>
              <w:right w:w="15" w:type="dxa"/>
            </w:tcMar>
          </w:tcPr>
          <w:p w14:paraId="2C1C3E6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5292A54C" w14:textId="77777777" w:rsidR="0093228B" w:rsidRDefault="0093228B">
            <w:pPr>
              <w:jc w:val="left"/>
              <w:rPr>
                <w:rFonts w:eastAsia="Source Sans Pro Light" w:cs="Source Sans Pro Light"/>
              </w:rPr>
            </w:pPr>
          </w:p>
        </w:tc>
      </w:tr>
      <w:tr w:rsidR="0093228B" w14:paraId="45636DBF" w14:textId="77777777">
        <w:trPr>
          <w:trHeight w:val="600"/>
        </w:trPr>
        <w:tc>
          <w:tcPr>
            <w:tcW w:w="1185" w:type="dxa"/>
            <w:tcMar>
              <w:top w:w="15" w:type="dxa"/>
              <w:left w:w="15" w:type="dxa"/>
              <w:right w:w="15" w:type="dxa"/>
            </w:tcMar>
          </w:tcPr>
          <w:p w14:paraId="40535EEC"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596D665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54FBF2F1" w14:textId="77777777" w:rsidR="0093228B" w:rsidRDefault="0093228B"/>
        </w:tc>
        <w:tc>
          <w:tcPr>
            <w:tcW w:w="510" w:type="dxa"/>
            <w:tcMar>
              <w:top w:w="15" w:type="dxa"/>
              <w:left w:w="15" w:type="dxa"/>
              <w:right w:w="15" w:type="dxa"/>
            </w:tcMar>
          </w:tcPr>
          <w:p w14:paraId="60A3F17F"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106</w:t>
            </w:r>
          </w:p>
        </w:tc>
        <w:tc>
          <w:tcPr>
            <w:tcW w:w="2505" w:type="dxa"/>
            <w:tcMar>
              <w:top w:w="15" w:type="dxa"/>
              <w:left w:w="15" w:type="dxa"/>
              <w:right w:w="15" w:type="dxa"/>
            </w:tcMar>
          </w:tcPr>
          <w:p w14:paraId="0C748F3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Travail des grains - fabrication de produits amylacés </w:t>
            </w:r>
          </w:p>
        </w:tc>
        <w:tc>
          <w:tcPr>
            <w:tcW w:w="810" w:type="dxa"/>
            <w:tcMar>
              <w:top w:w="15" w:type="dxa"/>
              <w:left w:w="15" w:type="dxa"/>
              <w:right w:w="15" w:type="dxa"/>
            </w:tcMar>
          </w:tcPr>
          <w:p w14:paraId="6EA646E1"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7BFA1E25" w14:textId="77777777" w:rsidR="0093228B" w:rsidRDefault="0093228B">
            <w:pPr>
              <w:jc w:val="left"/>
              <w:rPr>
                <w:rFonts w:eastAsia="Source Sans Pro Light" w:cs="Source Sans Pro Light"/>
              </w:rPr>
            </w:pPr>
          </w:p>
        </w:tc>
      </w:tr>
      <w:tr w:rsidR="0093228B" w14:paraId="3D4CDE85" w14:textId="77777777">
        <w:trPr>
          <w:trHeight w:val="600"/>
        </w:trPr>
        <w:tc>
          <w:tcPr>
            <w:tcW w:w="1185" w:type="dxa"/>
            <w:tcMar>
              <w:top w:w="15" w:type="dxa"/>
              <w:left w:w="15" w:type="dxa"/>
              <w:right w:w="15" w:type="dxa"/>
            </w:tcMar>
          </w:tcPr>
          <w:p w14:paraId="12761F6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589FF5F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0BAC7B2C" w14:textId="77777777" w:rsidR="0093228B" w:rsidRDefault="0093228B"/>
        </w:tc>
        <w:tc>
          <w:tcPr>
            <w:tcW w:w="510" w:type="dxa"/>
            <w:tcMar>
              <w:top w:w="15" w:type="dxa"/>
              <w:left w:w="15" w:type="dxa"/>
              <w:right w:w="15" w:type="dxa"/>
            </w:tcMar>
          </w:tcPr>
          <w:p w14:paraId="72FE0A6B"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107</w:t>
            </w:r>
          </w:p>
        </w:tc>
        <w:tc>
          <w:tcPr>
            <w:tcW w:w="2505" w:type="dxa"/>
            <w:tcMar>
              <w:top w:w="15" w:type="dxa"/>
              <w:left w:w="15" w:type="dxa"/>
              <w:right w:w="15" w:type="dxa"/>
            </w:tcMar>
          </w:tcPr>
          <w:p w14:paraId="16E296FF"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produits de boulangerie-pâtisserie et de pâtes alimentaires </w:t>
            </w:r>
          </w:p>
        </w:tc>
        <w:tc>
          <w:tcPr>
            <w:tcW w:w="810" w:type="dxa"/>
            <w:tcMar>
              <w:top w:w="15" w:type="dxa"/>
              <w:left w:w="15" w:type="dxa"/>
              <w:right w:w="15" w:type="dxa"/>
            </w:tcMar>
          </w:tcPr>
          <w:p w14:paraId="0DC76C50"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3692EAF7" w14:textId="77777777" w:rsidR="0093228B" w:rsidRDefault="0093228B">
            <w:pPr>
              <w:jc w:val="left"/>
              <w:rPr>
                <w:rFonts w:eastAsia="Source Sans Pro Light" w:cs="Source Sans Pro Light"/>
              </w:rPr>
            </w:pPr>
          </w:p>
        </w:tc>
      </w:tr>
      <w:tr w:rsidR="0093228B" w14:paraId="6AB3FE13" w14:textId="77777777">
        <w:trPr>
          <w:trHeight w:val="300"/>
        </w:trPr>
        <w:tc>
          <w:tcPr>
            <w:tcW w:w="1185" w:type="dxa"/>
            <w:tcMar>
              <w:top w:w="15" w:type="dxa"/>
              <w:left w:w="15" w:type="dxa"/>
              <w:right w:w="15" w:type="dxa"/>
            </w:tcMar>
          </w:tcPr>
          <w:p w14:paraId="4901778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58531609"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0681469E" w14:textId="77777777" w:rsidR="0093228B" w:rsidRDefault="0093228B"/>
        </w:tc>
        <w:tc>
          <w:tcPr>
            <w:tcW w:w="510" w:type="dxa"/>
            <w:tcMar>
              <w:top w:w="15" w:type="dxa"/>
              <w:left w:w="15" w:type="dxa"/>
              <w:right w:w="15" w:type="dxa"/>
            </w:tcMar>
          </w:tcPr>
          <w:p w14:paraId="287ECBBB"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108</w:t>
            </w:r>
          </w:p>
        </w:tc>
        <w:tc>
          <w:tcPr>
            <w:tcW w:w="2505" w:type="dxa"/>
            <w:tcMar>
              <w:top w:w="15" w:type="dxa"/>
              <w:left w:w="15" w:type="dxa"/>
              <w:right w:w="15" w:type="dxa"/>
            </w:tcMar>
          </w:tcPr>
          <w:p w14:paraId="235A7E7B"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d'autres produits alimentaires </w:t>
            </w:r>
          </w:p>
        </w:tc>
        <w:tc>
          <w:tcPr>
            <w:tcW w:w="810" w:type="dxa"/>
            <w:tcMar>
              <w:top w:w="15" w:type="dxa"/>
              <w:left w:w="15" w:type="dxa"/>
              <w:right w:w="15" w:type="dxa"/>
            </w:tcMar>
          </w:tcPr>
          <w:p w14:paraId="61B2FB57"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2A611D76" w14:textId="77777777" w:rsidR="0093228B" w:rsidRDefault="0093228B">
            <w:pPr>
              <w:jc w:val="left"/>
              <w:rPr>
                <w:rFonts w:eastAsia="Source Sans Pro Light" w:cs="Source Sans Pro Light"/>
              </w:rPr>
            </w:pPr>
          </w:p>
        </w:tc>
      </w:tr>
      <w:tr w:rsidR="0093228B" w14:paraId="05E2F2C0" w14:textId="77777777">
        <w:trPr>
          <w:trHeight w:val="300"/>
        </w:trPr>
        <w:tc>
          <w:tcPr>
            <w:tcW w:w="1185" w:type="dxa"/>
            <w:tcMar>
              <w:top w:w="15" w:type="dxa"/>
              <w:left w:w="15" w:type="dxa"/>
              <w:right w:w="15" w:type="dxa"/>
            </w:tcMar>
          </w:tcPr>
          <w:p w14:paraId="16270050"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7143B5A1"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4D9BE703" w14:textId="77777777" w:rsidR="0093228B" w:rsidRDefault="0093228B"/>
        </w:tc>
        <w:tc>
          <w:tcPr>
            <w:tcW w:w="510" w:type="dxa"/>
            <w:tcMar>
              <w:top w:w="15" w:type="dxa"/>
              <w:left w:w="15" w:type="dxa"/>
              <w:right w:w="15" w:type="dxa"/>
            </w:tcMar>
          </w:tcPr>
          <w:p w14:paraId="70FA2BF0"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109</w:t>
            </w:r>
          </w:p>
        </w:tc>
        <w:tc>
          <w:tcPr>
            <w:tcW w:w="2505" w:type="dxa"/>
            <w:tcMar>
              <w:top w:w="15" w:type="dxa"/>
              <w:left w:w="15" w:type="dxa"/>
              <w:right w:w="15" w:type="dxa"/>
            </w:tcMar>
          </w:tcPr>
          <w:p w14:paraId="48748BD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d'aliments pour animaux </w:t>
            </w:r>
          </w:p>
        </w:tc>
        <w:tc>
          <w:tcPr>
            <w:tcW w:w="810" w:type="dxa"/>
            <w:tcMar>
              <w:top w:w="15" w:type="dxa"/>
              <w:left w:w="15" w:type="dxa"/>
              <w:right w:w="15" w:type="dxa"/>
            </w:tcMar>
          </w:tcPr>
          <w:p w14:paraId="3A24FE63"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383FE28C" w14:textId="77777777" w:rsidR="0093228B" w:rsidRDefault="0093228B">
            <w:pPr>
              <w:jc w:val="left"/>
              <w:rPr>
                <w:rFonts w:eastAsia="Source Sans Pro Light" w:cs="Source Sans Pro Light"/>
              </w:rPr>
            </w:pPr>
          </w:p>
        </w:tc>
      </w:tr>
      <w:tr w:rsidR="0093228B" w14:paraId="3063A6FD" w14:textId="77777777">
        <w:trPr>
          <w:trHeight w:val="900"/>
        </w:trPr>
        <w:tc>
          <w:tcPr>
            <w:tcW w:w="1185" w:type="dxa"/>
            <w:tcMar>
              <w:top w:w="15" w:type="dxa"/>
              <w:left w:w="15" w:type="dxa"/>
              <w:right w:w="15" w:type="dxa"/>
            </w:tcMar>
          </w:tcPr>
          <w:p w14:paraId="6E8753B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58A3748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val="restart"/>
            <w:tcMar>
              <w:top w:w="15" w:type="dxa"/>
              <w:left w:w="15" w:type="dxa"/>
              <w:right w:w="15" w:type="dxa"/>
            </w:tcMar>
          </w:tcPr>
          <w:p w14:paraId="11B9A820"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Industries alimentaires, dont artisanat commercial  </w:t>
            </w:r>
          </w:p>
        </w:tc>
        <w:tc>
          <w:tcPr>
            <w:tcW w:w="510" w:type="dxa"/>
            <w:tcMar>
              <w:top w:w="15" w:type="dxa"/>
              <w:left w:w="15" w:type="dxa"/>
              <w:right w:w="15" w:type="dxa"/>
            </w:tcMar>
          </w:tcPr>
          <w:p w14:paraId="1A7381A2"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101y</w:t>
            </w:r>
          </w:p>
        </w:tc>
        <w:tc>
          <w:tcPr>
            <w:tcW w:w="2505" w:type="dxa"/>
            <w:tcMar>
              <w:top w:w="15" w:type="dxa"/>
              <w:left w:w="15" w:type="dxa"/>
              <w:right w:w="15" w:type="dxa"/>
            </w:tcMar>
          </w:tcPr>
          <w:p w14:paraId="5C40EB8E"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Transformation et conservation de la viande et préparation de produits à base de viande, dont artisanat commercial  </w:t>
            </w:r>
          </w:p>
        </w:tc>
        <w:tc>
          <w:tcPr>
            <w:tcW w:w="810" w:type="dxa"/>
            <w:tcMar>
              <w:top w:w="15" w:type="dxa"/>
              <w:left w:w="15" w:type="dxa"/>
              <w:right w:w="15" w:type="dxa"/>
            </w:tcMar>
          </w:tcPr>
          <w:p w14:paraId="4199A045"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3DA6504E" w14:textId="77777777" w:rsidR="0093228B" w:rsidRDefault="0093228B">
            <w:pPr>
              <w:jc w:val="left"/>
              <w:rPr>
                <w:rFonts w:eastAsia="Source Sans Pro Light" w:cs="Source Sans Pro Light"/>
              </w:rPr>
            </w:pPr>
          </w:p>
        </w:tc>
      </w:tr>
      <w:tr w:rsidR="0093228B" w14:paraId="436459CD" w14:textId="77777777">
        <w:trPr>
          <w:trHeight w:val="900"/>
        </w:trPr>
        <w:tc>
          <w:tcPr>
            <w:tcW w:w="1185" w:type="dxa"/>
            <w:tcMar>
              <w:top w:w="15" w:type="dxa"/>
              <w:left w:w="15" w:type="dxa"/>
              <w:right w:w="15" w:type="dxa"/>
            </w:tcMar>
          </w:tcPr>
          <w:p w14:paraId="7A0A0BE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6E778E82"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7BA2F926" w14:textId="77777777" w:rsidR="0093228B" w:rsidRDefault="0093228B"/>
        </w:tc>
        <w:tc>
          <w:tcPr>
            <w:tcW w:w="510" w:type="dxa"/>
            <w:tcMar>
              <w:top w:w="15" w:type="dxa"/>
              <w:left w:w="15" w:type="dxa"/>
              <w:right w:w="15" w:type="dxa"/>
            </w:tcMar>
          </w:tcPr>
          <w:p w14:paraId="363D249C"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107y</w:t>
            </w:r>
          </w:p>
        </w:tc>
        <w:tc>
          <w:tcPr>
            <w:tcW w:w="2505" w:type="dxa"/>
            <w:tcMar>
              <w:top w:w="15" w:type="dxa"/>
              <w:left w:w="15" w:type="dxa"/>
              <w:right w:w="15" w:type="dxa"/>
            </w:tcMar>
          </w:tcPr>
          <w:p w14:paraId="62B24D9C"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produits de boulangerie-pâtisserie et de pâtes alimentaires, dont artisanat commercial </w:t>
            </w:r>
          </w:p>
        </w:tc>
        <w:tc>
          <w:tcPr>
            <w:tcW w:w="810" w:type="dxa"/>
            <w:tcMar>
              <w:top w:w="15" w:type="dxa"/>
              <w:left w:w="15" w:type="dxa"/>
              <w:right w:w="15" w:type="dxa"/>
            </w:tcMar>
          </w:tcPr>
          <w:p w14:paraId="6D584AD0"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6F3AF20A" w14:textId="77777777" w:rsidR="0093228B" w:rsidRDefault="0093228B">
            <w:pPr>
              <w:jc w:val="left"/>
              <w:rPr>
                <w:rFonts w:eastAsia="Source Sans Pro Light" w:cs="Source Sans Pro Light"/>
              </w:rPr>
            </w:pPr>
          </w:p>
        </w:tc>
      </w:tr>
      <w:tr w:rsidR="0093228B" w14:paraId="2C4B7833" w14:textId="77777777">
        <w:trPr>
          <w:trHeight w:val="300"/>
        </w:trPr>
        <w:tc>
          <w:tcPr>
            <w:tcW w:w="1185" w:type="dxa"/>
            <w:tcMar>
              <w:top w:w="15" w:type="dxa"/>
              <w:left w:w="15" w:type="dxa"/>
              <w:right w:w="15" w:type="dxa"/>
            </w:tcMar>
          </w:tcPr>
          <w:p w14:paraId="7BD5E429"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579EFF2A"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tcMar>
              <w:top w:w="15" w:type="dxa"/>
              <w:left w:w="15" w:type="dxa"/>
              <w:right w:w="15" w:type="dxa"/>
            </w:tcMar>
          </w:tcPr>
          <w:p w14:paraId="09AFDB48"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boissons </w:t>
            </w:r>
          </w:p>
        </w:tc>
        <w:tc>
          <w:tcPr>
            <w:tcW w:w="510" w:type="dxa"/>
            <w:tcMar>
              <w:top w:w="15" w:type="dxa"/>
              <w:left w:w="15" w:type="dxa"/>
              <w:right w:w="15" w:type="dxa"/>
            </w:tcMar>
          </w:tcPr>
          <w:p w14:paraId="3A7C17A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110</w:t>
            </w:r>
          </w:p>
        </w:tc>
        <w:tc>
          <w:tcPr>
            <w:tcW w:w="2505" w:type="dxa"/>
            <w:tcMar>
              <w:top w:w="15" w:type="dxa"/>
              <w:left w:w="15" w:type="dxa"/>
              <w:right w:w="15" w:type="dxa"/>
            </w:tcMar>
          </w:tcPr>
          <w:p w14:paraId="45A4018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Fabrication de boissons </w:t>
            </w:r>
          </w:p>
        </w:tc>
        <w:tc>
          <w:tcPr>
            <w:tcW w:w="810" w:type="dxa"/>
            <w:tcMar>
              <w:top w:w="15" w:type="dxa"/>
              <w:left w:w="15" w:type="dxa"/>
              <w:right w:w="15" w:type="dxa"/>
            </w:tcMar>
          </w:tcPr>
          <w:p w14:paraId="3FDADFFF"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4AD01892" w14:textId="77777777" w:rsidR="0093228B" w:rsidRDefault="0093228B">
            <w:pPr>
              <w:jc w:val="left"/>
              <w:rPr>
                <w:rFonts w:eastAsia="Source Sans Pro Light" w:cs="Source Sans Pro Light"/>
              </w:rPr>
            </w:pPr>
          </w:p>
        </w:tc>
      </w:tr>
      <w:tr w:rsidR="0093228B" w14:paraId="5C048699" w14:textId="77777777">
        <w:trPr>
          <w:trHeight w:val="600"/>
        </w:trPr>
        <w:tc>
          <w:tcPr>
            <w:tcW w:w="1185" w:type="dxa"/>
            <w:tcMar>
              <w:top w:w="15" w:type="dxa"/>
              <w:left w:w="15" w:type="dxa"/>
              <w:right w:w="15" w:type="dxa"/>
            </w:tcMar>
          </w:tcPr>
          <w:p w14:paraId="664F0A3A"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TRANSFO</w:t>
            </w:r>
          </w:p>
        </w:tc>
        <w:tc>
          <w:tcPr>
            <w:tcW w:w="1245" w:type="dxa"/>
            <w:tcMar>
              <w:top w:w="15" w:type="dxa"/>
              <w:left w:w="15" w:type="dxa"/>
              <w:right w:w="15" w:type="dxa"/>
            </w:tcMar>
          </w:tcPr>
          <w:p w14:paraId="01483AC6"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val="restart"/>
            <w:tcMar>
              <w:top w:w="15" w:type="dxa"/>
              <w:left w:w="15" w:type="dxa"/>
              <w:right w:w="15" w:type="dxa"/>
            </w:tcMar>
          </w:tcPr>
          <w:p w14:paraId="4B038064"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Intermédiaires du commerce de gros </w:t>
            </w:r>
          </w:p>
        </w:tc>
        <w:tc>
          <w:tcPr>
            <w:tcW w:w="510" w:type="dxa"/>
            <w:tcMar>
              <w:top w:w="15" w:type="dxa"/>
              <w:left w:w="15" w:type="dxa"/>
              <w:right w:w="15" w:type="dxa"/>
            </w:tcMar>
          </w:tcPr>
          <w:p w14:paraId="60615A96"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462</w:t>
            </w:r>
          </w:p>
        </w:tc>
        <w:tc>
          <w:tcPr>
            <w:tcW w:w="2505" w:type="dxa"/>
            <w:tcMar>
              <w:top w:w="15" w:type="dxa"/>
              <w:left w:w="15" w:type="dxa"/>
              <w:right w:w="15" w:type="dxa"/>
            </w:tcMar>
          </w:tcPr>
          <w:p w14:paraId="11DD2521"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gros de produits agricoles bruts et d'animaux vivants </w:t>
            </w:r>
          </w:p>
        </w:tc>
        <w:tc>
          <w:tcPr>
            <w:tcW w:w="810" w:type="dxa"/>
            <w:tcMar>
              <w:top w:w="15" w:type="dxa"/>
              <w:left w:w="15" w:type="dxa"/>
              <w:right w:w="15" w:type="dxa"/>
            </w:tcMar>
          </w:tcPr>
          <w:p w14:paraId="6BE62765"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778247AC" w14:textId="77777777" w:rsidR="0093228B" w:rsidRDefault="0093228B">
            <w:pPr>
              <w:jc w:val="left"/>
              <w:rPr>
                <w:rFonts w:eastAsia="Source Sans Pro Light" w:cs="Source Sans Pro Light"/>
              </w:rPr>
            </w:pPr>
          </w:p>
        </w:tc>
      </w:tr>
      <w:tr w:rsidR="0093228B" w14:paraId="5361B708" w14:textId="77777777">
        <w:trPr>
          <w:trHeight w:val="600"/>
        </w:trPr>
        <w:tc>
          <w:tcPr>
            <w:tcW w:w="1185" w:type="dxa"/>
            <w:tcMar>
              <w:top w:w="15" w:type="dxa"/>
              <w:left w:w="15" w:type="dxa"/>
              <w:right w:w="15" w:type="dxa"/>
            </w:tcMar>
          </w:tcPr>
          <w:p w14:paraId="34AC71D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lastRenderedPageBreak/>
              <w:t>TRANSFO</w:t>
            </w:r>
          </w:p>
        </w:tc>
        <w:tc>
          <w:tcPr>
            <w:tcW w:w="1245" w:type="dxa"/>
            <w:tcMar>
              <w:top w:w="15" w:type="dxa"/>
              <w:left w:w="15" w:type="dxa"/>
              <w:right w:w="15" w:type="dxa"/>
            </w:tcMar>
          </w:tcPr>
          <w:p w14:paraId="5697881D"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MIXTE</w:t>
            </w:r>
          </w:p>
        </w:tc>
        <w:tc>
          <w:tcPr>
            <w:tcW w:w="1410" w:type="dxa"/>
            <w:vMerge/>
            <w:tcMar>
              <w:top w:w="15" w:type="dxa"/>
              <w:left w:w="15" w:type="dxa"/>
              <w:right w:w="15" w:type="dxa"/>
            </w:tcMar>
            <w:vAlign w:val="bottom"/>
          </w:tcPr>
          <w:p w14:paraId="0E4D9FEC" w14:textId="77777777" w:rsidR="0093228B" w:rsidRDefault="0093228B"/>
        </w:tc>
        <w:tc>
          <w:tcPr>
            <w:tcW w:w="510" w:type="dxa"/>
            <w:tcMar>
              <w:top w:w="15" w:type="dxa"/>
              <w:left w:w="15" w:type="dxa"/>
              <w:right w:w="15" w:type="dxa"/>
            </w:tcMar>
          </w:tcPr>
          <w:p w14:paraId="52FCDCFA"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463</w:t>
            </w:r>
          </w:p>
        </w:tc>
        <w:tc>
          <w:tcPr>
            <w:tcW w:w="2505" w:type="dxa"/>
            <w:tcMar>
              <w:top w:w="15" w:type="dxa"/>
              <w:left w:w="15" w:type="dxa"/>
              <w:right w:w="15" w:type="dxa"/>
            </w:tcMar>
          </w:tcPr>
          <w:p w14:paraId="49B63E28"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gros de produits alimentaires, de boissons et de tabac </w:t>
            </w:r>
          </w:p>
        </w:tc>
        <w:tc>
          <w:tcPr>
            <w:tcW w:w="810" w:type="dxa"/>
            <w:tcMar>
              <w:top w:w="15" w:type="dxa"/>
              <w:left w:w="15" w:type="dxa"/>
              <w:right w:w="15" w:type="dxa"/>
            </w:tcMar>
          </w:tcPr>
          <w:p w14:paraId="6F7B6E7A"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6D4A3860" w14:textId="77777777" w:rsidR="0093228B" w:rsidRDefault="0093228B">
            <w:pPr>
              <w:jc w:val="left"/>
              <w:rPr>
                <w:rFonts w:eastAsia="Source Sans Pro Light" w:cs="Source Sans Pro Light"/>
              </w:rPr>
            </w:pPr>
          </w:p>
        </w:tc>
      </w:tr>
      <w:tr w:rsidR="0093228B" w14:paraId="600BE9BB" w14:textId="77777777">
        <w:trPr>
          <w:trHeight w:val="600"/>
        </w:trPr>
        <w:tc>
          <w:tcPr>
            <w:tcW w:w="1185" w:type="dxa"/>
            <w:tcMar>
              <w:top w:w="15" w:type="dxa"/>
              <w:left w:w="15" w:type="dxa"/>
              <w:right w:w="15" w:type="dxa"/>
            </w:tcMar>
          </w:tcPr>
          <w:p w14:paraId="66B786FE"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DISTRIB</w:t>
            </w:r>
          </w:p>
        </w:tc>
        <w:tc>
          <w:tcPr>
            <w:tcW w:w="1245" w:type="dxa"/>
            <w:tcMar>
              <w:top w:w="15" w:type="dxa"/>
              <w:left w:w="15" w:type="dxa"/>
              <w:right w:w="15" w:type="dxa"/>
            </w:tcMar>
          </w:tcPr>
          <w:p w14:paraId="29C2BD5A"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VENTDET</w:t>
            </w:r>
          </w:p>
        </w:tc>
        <w:tc>
          <w:tcPr>
            <w:tcW w:w="1410" w:type="dxa"/>
            <w:vMerge w:val="restart"/>
            <w:tcMar>
              <w:top w:w="15" w:type="dxa"/>
              <w:left w:w="15" w:type="dxa"/>
              <w:right w:w="15" w:type="dxa"/>
            </w:tcMar>
          </w:tcPr>
          <w:p w14:paraId="2EE701EF"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détail, à l'exception des automobiles et des motocycles </w:t>
            </w:r>
          </w:p>
        </w:tc>
        <w:tc>
          <w:tcPr>
            <w:tcW w:w="510" w:type="dxa"/>
            <w:tcMar>
              <w:top w:w="15" w:type="dxa"/>
              <w:left w:w="15" w:type="dxa"/>
              <w:right w:w="15" w:type="dxa"/>
            </w:tcMar>
          </w:tcPr>
          <w:p w14:paraId="6F41F84D"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471</w:t>
            </w:r>
          </w:p>
        </w:tc>
        <w:tc>
          <w:tcPr>
            <w:tcW w:w="2505" w:type="dxa"/>
            <w:tcMar>
              <w:top w:w="15" w:type="dxa"/>
              <w:left w:w="15" w:type="dxa"/>
              <w:right w:w="15" w:type="dxa"/>
            </w:tcMar>
          </w:tcPr>
          <w:p w14:paraId="50DF90F1"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détail en magasin non spécialisé </w:t>
            </w:r>
          </w:p>
        </w:tc>
        <w:tc>
          <w:tcPr>
            <w:tcW w:w="810" w:type="dxa"/>
            <w:tcMar>
              <w:top w:w="15" w:type="dxa"/>
              <w:left w:w="15" w:type="dxa"/>
              <w:right w:w="15" w:type="dxa"/>
            </w:tcMar>
          </w:tcPr>
          <w:p w14:paraId="2BC847D7"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80%</w:t>
            </w:r>
          </w:p>
        </w:tc>
        <w:tc>
          <w:tcPr>
            <w:tcW w:w="2072" w:type="dxa"/>
            <w:tcMar>
              <w:top w:w="15" w:type="dxa"/>
              <w:left w:w="15" w:type="dxa"/>
              <w:right w:w="15" w:type="dxa"/>
            </w:tcMar>
          </w:tcPr>
          <w:p w14:paraId="3D78D839" w14:textId="7229EDE1"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Le non alimentaire représente 20 % des ventes des hypermarchés en 2018 [</w:t>
            </w:r>
            <w:hyperlink r:id="rId12">
              <w:r w:rsidRPr="710D4647">
                <w:rPr>
                  <w:rStyle w:val="Lienhypertexte"/>
                  <w:rFonts w:eastAsia="Source Sans Pro Light" w:cs="Source Sans Pro Light"/>
                </w:rPr>
                <w:t>source</w:t>
              </w:r>
            </w:hyperlink>
            <w:r w:rsidRPr="710D4647">
              <w:rPr>
                <w:rFonts w:eastAsia="Source Sans Pro Light" w:cs="Source Sans Pro Light"/>
                <w:color w:val="000000" w:themeColor="text1"/>
              </w:rPr>
              <w:t>]</w:t>
            </w:r>
          </w:p>
        </w:tc>
      </w:tr>
      <w:tr w:rsidR="0093228B" w14:paraId="382094E4" w14:textId="77777777">
        <w:trPr>
          <w:trHeight w:val="600"/>
        </w:trPr>
        <w:tc>
          <w:tcPr>
            <w:tcW w:w="1185" w:type="dxa"/>
            <w:tcMar>
              <w:top w:w="15" w:type="dxa"/>
              <w:left w:w="15" w:type="dxa"/>
              <w:right w:w="15" w:type="dxa"/>
            </w:tcMar>
          </w:tcPr>
          <w:p w14:paraId="4412A1C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DISTRIB</w:t>
            </w:r>
          </w:p>
        </w:tc>
        <w:tc>
          <w:tcPr>
            <w:tcW w:w="1245" w:type="dxa"/>
            <w:tcMar>
              <w:top w:w="15" w:type="dxa"/>
              <w:left w:w="15" w:type="dxa"/>
              <w:right w:w="15" w:type="dxa"/>
            </w:tcMar>
          </w:tcPr>
          <w:p w14:paraId="19D4DF8E"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VENTDET</w:t>
            </w:r>
          </w:p>
        </w:tc>
        <w:tc>
          <w:tcPr>
            <w:tcW w:w="1410" w:type="dxa"/>
            <w:vMerge/>
            <w:tcMar>
              <w:top w:w="15" w:type="dxa"/>
              <w:left w:w="15" w:type="dxa"/>
              <w:right w:w="15" w:type="dxa"/>
            </w:tcMar>
            <w:vAlign w:val="bottom"/>
          </w:tcPr>
          <w:p w14:paraId="16910E06" w14:textId="77777777" w:rsidR="0093228B" w:rsidRDefault="0093228B"/>
        </w:tc>
        <w:tc>
          <w:tcPr>
            <w:tcW w:w="510" w:type="dxa"/>
            <w:tcMar>
              <w:top w:w="15" w:type="dxa"/>
              <w:left w:w="15" w:type="dxa"/>
              <w:right w:w="15" w:type="dxa"/>
            </w:tcMar>
          </w:tcPr>
          <w:p w14:paraId="55D3C1F0"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472</w:t>
            </w:r>
          </w:p>
        </w:tc>
        <w:tc>
          <w:tcPr>
            <w:tcW w:w="2505" w:type="dxa"/>
            <w:tcMar>
              <w:top w:w="15" w:type="dxa"/>
              <w:left w:w="15" w:type="dxa"/>
              <w:right w:w="15" w:type="dxa"/>
            </w:tcMar>
          </w:tcPr>
          <w:p w14:paraId="37C3F226"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détail alimentaire en magasin spécialisé </w:t>
            </w:r>
          </w:p>
        </w:tc>
        <w:tc>
          <w:tcPr>
            <w:tcW w:w="810" w:type="dxa"/>
            <w:tcMar>
              <w:top w:w="15" w:type="dxa"/>
              <w:left w:w="15" w:type="dxa"/>
              <w:right w:w="15" w:type="dxa"/>
            </w:tcMar>
          </w:tcPr>
          <w:p w14:paraId="732D6D19"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30BF5B5C" w14:textId="77777777" w:rsidR="0093228B" w:rsidRDefault="0093228B">
            <w:pPr>
              <w:jc w:val="left"/>
              <w:rPr>
                <w:rFonts w:eastAsia="Source Sans Pro Light" w:cs="Source Sans Pro Light"/>
              </w:rPr>
            </w:pPr>
          </w:p>
        </w:tc>
      </w:tr>
      <w:tr w:rsidR="0093228B" w14:paraId="1C5AD804" w14:textId="77777777">
        <w:trPr>
          <w:trHeight w:val="600"/>
        </w:trPr>
        <w:tc>
          <w:tcPr>
            <w:tcW w:w="1185" w:type="dxa"/>
            <w:tcMar>
              <w:top w:w="15" w:type="dxa"/>
              <w:left w:w="15" w:type="dxa"/>
              <w:right w:w="15" w:type="dxa"/>
            </w:tcMar>
          </w:tcPr>
          <w:p w14:paraId="54FCB8B5"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DISTRIB</w:t>
            </w:r>
          </w:p>
        </w:tc>
        <w:tc>
          <w:tcPr>
            <w:tcW w:w="1245" w:type="dxa"/>
            <w:tcMar>
              <w:top w:w="15" w:type="dxa"/>
              <w:left w:w="15" w:type="dxa"/>
              <w:right w:w="15" w:type="dxa"/>
            </w:tcMar>
          </w:tcPr>
          <w:p w14:paraId="7E46D556"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VENTDET</w:t>
            </w:r>
          </w:p>
        </w:tc>
        <w:tc>
          <w:tcPr>
            <w:tcW w:w="1410" w:type="dxa"/>
            <w:vMerge/>
            <w:tcMar>
              <w:top w:w="15" w:type="dxa"/>
              <w:left w:w="15" w:type="dxa"/>
              <w:right w:w="15" w:type="dxa"/>
            </w:tcMar>
            <w:vAlign w:val="bottom"/>
          </w:tcPr>
          <w:p w14:paraId="7E733F6C" w14:textId="77777777" w:rsidR="0093228B" w:rsidRDefault="0093228B"/>
        </w:tc>
        <w:tc>
          <w:tcPr>
            <w:tcW w:w="510" w:type="dxa"/>
            <w:tcMar>
              <w:top w:w="15" w:type="dxa"/>
              <w:left w:w="15" w:type="dxa"/>
              <w:right w:w="15" w:type="dxa"/>
            </w:tcMar>
          </w:tcPr>
          <w:p w14:paraId="265503C1"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478</w:t>
            </w:r>
          </w:p>
        </w:tc>
        <w:tc>
          <w:tcPr>
            <w:tcW w:w="2505" w:type="dxa"/>
            <w:tcMar>
              <w:top w:w="15" w:type="dxa"/>
              <w:left w:w="15" w:type="dxa"/>
              <w:right w:w="15" w:type="dxa"/>
            </w:tcMar>
          </w:tcPr>
          <w:p w14:paraId="267DBDC9"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détail sur éventaires et marchés </w:t>
            </w:r>
          </w:p>
        </w:tc>
        <w:tc>
          <w:tcPr>
            <w:tcW w:w="810" w:type="dxa"/>
            <w:tcMar>
              <w:top w:w="15" w:type="dxa"/>
              <w:left w:w="15" w:type="dxa"/>
              <w:right w:w="15" w:type="dxa"/>
            </w:tcMar>
          </w:tcPr>
          <w:p w14:paraId="40E6841D"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666719EF" w14:textId="77777777" w:rsidR="0093228B" w:rsidRDefault="0093228B">
            <w:pPr>
              <w:jc w:val="left"/>
              <w:rPr>
                <w:rFonts w:eastAsia="Source Sans Pro Light" w:cs="Source Sans Pro Light"/>
              </w:rPr>
            </w:pPr>
          </w:p>
        </w:tc>
      </w:tr>
      <w:tr w:rsidR="0093228B" w14:paraId="6924E4AC" w14:textId="77777777">
        <w:trPr>
          <w:trHeight w:val="600"/>
        </w:trPr>
        <w:tc>
          <w:tcPr>
            <w:tcW w:w="1185" w:type="dxa"/>
            <w:tcMar>
              <w:top w:w="15" w:type="dxa"/>
              <w:left w:w="15" w:type="dxa"/>
              <w:right w:w="15" w:type="dxa"/>
            </w:tcMar>
          </w:tcPr>
          <w:p w14:paraId="641DE466"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DISTRIB</w:t>
            </w:r>
          </w:p>
        </w:tc>
        <w:tc>
          <w:tcPr>
            <w:tcW w:w="1245" w:type="dxa"/>
            <w:tcMar>
              <w:top w:w="15" w:type="dxa"/>
              <w:left w:w="15" w:type="dxa"/>
              <w:right w:w="15" w:type="dxa"/>
            </w:tcMar>
          </w:tcPr>
          <w:p w14:paraId="69CFF9D0"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VENTDET</w:t>
            </w:r>
          </w:p>
        </w:tc>
        <w:tc>
          <w:tcPr>
            <w:tcW w:w="1410" w:type="dxa"/>
            <w:vMerge/>
            <w:tcMar>
              <w:top w:w="15" w:type="dxa"/>
              <w:left w:w="15" w:type="dxa"/>
              <w:right w:w="15" w:type="dxa"/>
            </w:tcMar>
            <w:vAlign w:val="bottom"/>
          </w:tcPr>
          <w:p w14:paraId="6AAF9BD1" w14:textId="77777777" w:rsidR="0093228B" w:rsidRDefault="0093228B"/>
        </w:tc>
        <w:tc>
          <w:tcPr>
            <w:tcW w:w="510" w:type="dxa"/>
            <w:tcMar>
              <w:top w:w="15" w:type="dxa"/>
              <w:left w:w="15" w:type="dxa"/>
              <w:right w:w="15" w:type="dxa"/>
            </w:tcMar>
          </w:tcPr>
          <w:p w14:paraId="6DF99968"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479</w:t>
            </w:r>
          </w:p>
        </w:tc>
        <w:tc>
          <w:tcPr>
            <w:tcW w:w="2505" w:type="dxa"/>
            <w:tcMar>
              <w:top w:w="15" w:type="dxa"/>
              <w:left w:w="15" w:type="dxa"/>
              <w:right w:w="15" w:type="dxa"/>
            </w:tcMar>
          </w:tcPr>
          <w:p w14:paraId="1B7F2DFC"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Commerce de détail hors magasin, éventaires ou marchés </w:t>
            </w:r>
          </w:p>
        </w:tc>
        <w:tc>
          <w:tcPr>
            <w:tcW w:w="810" w:type="dxa"/>
            <w:tcMar>
              <w:top w:w="15" w:type="dxa"/>
              <w:left w:w="15" w:type="dxa"/>
              <w:right w:w="15" w:type="dxa"/>
            </w:tcMar>
          </w:tcPr>
          <w:p w14:paraId="7913D21E"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0870C43C" w14:textId="77777777" w:rsidR="0093228B" w:rsidRDefault="0093228B">
            <w:pPr>
              <w:jc w:val="left"/>
              <w:rPr>
                <w:rFonts w:eastAsia="Source Sans Pro Light" w:cs="Source Sans Pro Light"/>
              </w:rPr>
            </w:pPr>
          </w:p>
        </w:tc>
      </w:tr>
      <w:tr w:rsidR="0093228B" w14:paraId="78ADAAFE" w14:textId="77777777">
        <w:trPr>
          <w:trHeight w:val="600"/>
        </w:trPr>
        <w:tc>
          <w:tcPr>
            <w:tcW w:w="1185" w:type="dxa"/>
            <w:tcMar>
              <w:top w:w="15" w:type="dxa"/>
              <w:left w:w="15" w:type="dxa"/>
              <w:right w:w="15" w:type="dxa"/>
            </w:tcMar>
          </w:tcPr>
          <w:p w14:paraId="4765812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RHD</w:t>
            </w:r>
          </w:p>
        </w:tc>
        <w:tc>
          <w:tcPr>
            <w:tcW w:w="1245" w:type="dxa"/>
            <w:tcMar>
              <w:top w:w="15" w:type="dxa"/>
              <w:left w:w="15" w:type="dxa"/>
              <w:right w:w="15" w:type="dxa"/>
            </w:tcMar>
          </w:tcPr>
          <w:p w14:paraId="1C17EFB6"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RESTOCOM</w:t>
            </w:r>
          </w:p>
        </w:tc>
        <w:tc>
          <w:tcPr>
            <w:tcW w:w="1410" w:type="dxa"/>
            <w:vMerge w:val="restart"/>
            <w:tcMar>
              <w:top w:w="15" w:type="dxa"/>
              <w:left w:w="15" w:type="dxa"/>
              <w:right w:w="15" w:type="dxa"/>
            </w:tcMar>
          </w:tcPr>
          <w:p w14:paraId="5D53E458"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Restauration </w:t>
            </w:r>
          </w:p>
        </w:tc>
        <w:tc>
          <w:tcPr>
            <w:tcW w:w="510" w:type="dxa"/>
            <w:tcMar>
              <w:top w:w="15" w:type="dxa"/>
              <w:left w:w="15" w:type="dxa"/>
              <w:right w:w="15" w:type="dxa"/>
            </w:tcMar>
          </w:tcPr>
          <w:p w14:paraId="766BEBE4"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561</w:t>
            </w:r>
          </w:p>
        </w:tc>
        <w:tc>
          <w:tcPr>
            <w:tcW w:w="2505" w:type="dxa"/>
            <w:tcMar>
              <w:top w:w="15" w:type="dxa"/>
              <w:left w:w="15" w:type="dxa"/>
              <w:right w:w="15" w:type="dxa"/>
            </w:tcMar>
          </w:tcPr>
          <w:p w14:paraId="2545878F"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Restaurants et services de restauration mobile </w:t>
            </w:r>
          </w:p>
        </w:tc>
        <w:tc>
          <w:tcPr>
            <w:tcW w:w="810" w:type="dxa"/>
            <w:tcMar>
              <w:top w:w="15" w:type="dxa"/>
              <w:left w:w="15" w:type="dxa"/>
              <w:right w:w="15" w:type="dxa"/>
            </w:tcMar>
          </w:tcPr>
          <w:p w14:paraId="776E4AFE"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5D3FEE81" w14:textId="77777777" w:rsidR="0093228B" w:rsidRDefault="0093228B">
            <w:pPr>
              <w:jc w:val="left"/>
              <w:rPr>
                <w:rFonts w:eastAsia="Source Sans Pro Light" w:cs="Source Sans Pro Light"/>
              </w:rPr>
            </w:pPr>
          </w:p>
        </w:tc>
      </w:tr>
      <w:tr w:rsidR="0093228B" w14:paraId="5970211A" w14:textId="77777777">
        <w:trPr>
          <w:trHeight w:val="600"/>
        </w:trPr>
        <w:tc>
          <w:tcPr>
            <w:tcW w:w="1185" w:type="dxa"/>
            <w:tcMar>
              <w:top w:w="15" w:type="dxa"/>
              <w:left w:w="15" w:type="dxa"/>
              <w:right w:w="15" w:type="dxa"/>
            </w:tcMar>
          </w:tcPr>
          <w:p w14:paraId="3985D433"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RHD</w:t>
            </w:r>
          </w:p>
        </w:tc>
        <w:tc>
          <w:tcPr>
            <w:tcW w:w="1245" w:type="dxa"/>
            <w:tcMar>
              <w:top w:w="15" w:type="dxa"/>
              <w:left w:w="15" w:type="dxa"/>
              <w:right w:w="15" w:type="dxa"/>
            </w:tcMar>
          </w:tcPr>
          <w:p w14:paraId="5E2A812A"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RESTOCOM</w:t>
            </w:r>
          </w:p>
        </w:tc>
        <w:tc>
          <w:tcPr>
            <w:tcW w:w="1410" w:type="dxa"/>
            <w:vMerge/>
            <w:tcMar>
              <w:top w:w="15" w:type="dxa"/>
              <w:left w:w="15" w:type="dxa"/>
              <w:right w:w="15" w:type="dxa"/>
            </w:tcMar>
            <w:vAlign w:val="bottom"/>
          </w:tcPr>
          <w:p w14:paraId="1FAA23E4" w14:textId="77777777" w:rsidR="0093228B" w:rsidRDefault="0093228B"/>
        </w:tc>
        <w:tc>
          <w:tcPr>
            <w:tcW w:w="510" w:type="dxa"/>
            <w:tcMar>
              <w:top w:w="15" w:type="dxa"/>
              <w:left w:w="15" w:type="dxa"/>
              <w:right w:w="15" w:type="dxa"/>
            </w:tcMar>
          </w:tcPr>
          <w:p w14:paraId="5D2FB06D"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562</w:t>
            </w:r>
          </w:p>
        </w:tc>
        <w:tc>
          <w:tcPr>
            <w:tcW w:w="2505" w:type="dxa"/>
            <w:tcMar>
              <w:top w:w="15" w:type="dxa"/>
              <w:left w:w="15" w:type="dxa"/>
              <w:right w:w="15" w:type="dxa"/>
            </w:tcMar>
          </w:tcPr>
          <w:p w14:paraId="09903432"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Traiteurs et autres services de restauration </w:t>
            </w:r>
          </w:p>
        </w:tc>
        <w:tc>
          <w:tcPr>
            <w:tcW w:w="810" w:type="dxa"/>
            <w:tcMar>
              <w:top w:w="15" w:type="dxa"/>
              <w:left w:w="15" w:type="dxa"/>
              <w:right w:w="15" w:type="dxa"/>
            </w:tcMar>
          </w:tcPr>
          <w:p w14:paraId="7C2F1988"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35F37F87" w14:textId="77777777" w:rsidR="0093228B" w:rsidRDefault="0093228B">
            <w:pPr>
              <w:jc w:val="left"/>
              <w:rPr>
                <w:rFonts w:eastAsia="Source Sans Pro Light" w:cs="Source Sans Pro Light"/>
              </w:rPr>
            </w:pPr>
          </w:p>
        </w:tc>
      </w:tr>
      <w:tr w:rsidR="0093228B" w14:paraId="3D57C6F6" w14:textId="77777777">
        <w:trPr>
          <w:trHeight w:val="300"/>
        </w:trPr>
        <w:tc>
          <w:tcPr>
            <w:tcW w:w="1185" w:type="dxa"/>
            <w:tcMar>
              <w:top w:w="15" w:type="dxa"/>
              <w:left w:w="15" w:type="dxa"/>
              <w:right w:w="15" w:type="dxa"/>
            </w:tcMar>
          </w:tcPr>
          <w:p w14:paraId="3DB2D217"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RHD</w:t>
            </w:r>
          </w:p>
        </w:tc>
        <w:tc>
          <w:tcPr>
            <w:tcW w:w="1245" w:type="dxa"/>
            <w:tcMar>
              <w:top w:w="15" w:type="dxa"/>
              <w:left w:w="15" w:type="dxa"/>
              <w:right w:w="15" w:type="dxa"/>
            </w:tcMar>
          </w:tcPr>
          <w:p w14:paraId="10328890"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RESTOCOM</w:t>
            </w:r>
          </w:p>
        </w:tc>
        <w:tc>
          <w:tcPr>
            <w:tcW w:w="1410" w:type="dxa"/>
            <w:vMerge/>
            <w:tcMar>
              <w:top w:w="15" w:type="dxa"/>
              <w:left w:w="15" w:type="dxa"/>
              <w:right w:w="15" w:type="dxa"/>
            </w:tcMar>
            <w:vAlign w:val="bottom"/>
          </w:tcPr>
          <w:p w14:paraId="7DADA55F" w14:textId="77777777" w:rsidR="0093228B" w:rsidRDefault="0093228B"/>
        </w:tc>
        <w:tc>
          <w:tcPr>
            <w:tcW w:w="510" w:type="dxa"/>
            <w:tcMar>
              <w:top w:w="15" w:type="dxa"/>
              <w:left w:w="15" w:type="dxa"/>
              <w:right w:w="15" w:type="dxa"/>
            </w:tcMar>
          </w:tcPr>
          <w:p w14:paraId="09AE1C09"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563</w:t>
            </w:r>
          </w:p>
        </w:tc>
        <w:tc>
          <w:tcPr>
            <w:tcW w:w="2505" w:type="dxa"/>
            <w:tcMar>
              <w:top w:w="15" w:type="dxa"/>
              <w:left w:w="15" w:type="dxa"/>
              <w:right w:w="15" w:type="dxa"/>
            </w:tcMar>
          </w:tcPr>
          <w:p w14:paraId="777635BF" w14:textId="77777777" w:rsidR="0093228B" w:rsidRDefault="0093228B">
            <w:pPr>
              <w:spacing w:after="0"/>
              <w:jc w:val="left"/>
              <w:rPr>
                <w:rFonts w:eastAsia="Source Sans Pro Light" w:cs="Source Sans Pro Light"/>
                <w:color w:val="000000" w:themeColor="text1"/>
              </w:rPr>
            </w:pPr>
            <w:r w:rsidRPr="710D4647">
              <w:rPr>
                <w:rFonts w:eastAsia="Source Sans Pro Light" w:cs="Source Sans Pro Light"/>
                <w:color w:val="000000" w:themeColor="text1"/>
              </w:rPr>
              <w:t xml:space="preserve">Débits de boissons </w:t>
            </w:r>
          </w:p>
        </w:tc>
        <w:tc>
          <w:tcPr>
            <w:tcW w:w="810" w:type="dxa"/>
            <w:tcMar>
              <w:top w:w="15" w:type="dxa"/>
              <w:left w:w="15" w:type="dxa"/>
              <w:right w:w="15" w:type="dxa"/>
            </w:tcMar>
          </w:tcPr>
          <w:p w14:paraId="0CF8CE3C" w14:textId="77777777" w:rsidR="0093228B" w:rsidRDefault="0093228B">
            <w:pPr>
              <w:spacing w:after="0"/>
              <w:jc w:val="center"/>
              <w:rPr>
                <w:rFonts w:eastAsia="Source Sans Pro Light" w:cs="Source Sans Pro Light"/>
                <w:color w:val="000000" w:themeColor="text1"/>
              </w:rPr>
            </w:pPr>
            <w:r w:rsidRPr="710D4647">
              <w:rPr>
                <w:rFonts w:eastAsia="Source Sans Pro Light" w:cs="Source Sans Pro Light"/>
                <w:color w:val="000000" w:themeColor="text1"/>
              </w:rPr>
              <w:t>100%</w:t>
            </w:r>
          </w:p>
        </w:tc>
        <w:tc>
          <w:tcPr>
            <w:tcW w:w="2072" w:type="dxa"/>
            <w:tcMar>
              <w:top w:w="15" w:type="dxa"/>
              <w:left w:w="15" w:type="dxa"/>
              <w:right w:w="15" w:type="dxa"/>
            </w:tcMar>
          </w:tcPr>
          <w:p w14:paraId="400C925D" w14:textId="77777777" w:rsidR="0093228B" w:rsidRDefault="0093228B">
            <w:pPr>
              <w:jc w:val="left"/>
              <w:rPr>
                <w:rFonts w:eastAsia="Source Sans Pro Light" w:cs="Source Sans Pro Light"/>
              </w:rPr>
            </w:pPr>
          </w:p>
        </w:tc>
      </w:tr>
    </w:tbl>
    <w:p w14:paraId="6B78A8A7" w14:textId="77777777" w:rsidR="0093228B" w:rsidRDefault="0093228B" w:rsidP="0093228B"/>
    <w:p w14:paraId="73EA9A13" w14:textId="5572B0E5" w:rsidR="0093228B" w:rsidRDefault="0093228B" w:rsidP="008F277B">
      <w:r>
        <w:t xml:space="preserve">A noter que </w:t>
      </w:r>
      <w:r w:rsidRPr="006558B9">
        <w:rPr>
          <w:b/>
        </w:rPr>
        <w:t>nous ne sommes pas en mesure d’être exhaustifs sur notre périmètre</w:t>
      </w:r>
      <w:r>
        <w:t xml:space="preserve">, en particulier en ce qui concerne la production d’intrants. Il manque en effet le secteur de la production des engrais, ainsi que celui des semences. Pour ces deux activités, la granularité (code NAF niveau 2) des données dont nous disposons habituellement n’est pas suffisante pour réaliser une correspondance. Par exemple, le secteur de la production d’engrais est fusionné avec d’autres industries chimiques. </w:t>
      </w:r>
      <w:r w:rsidR="278C6CA8">
        <w:t>La pêche et l’aquaculture ne sont pas non plus couverts par les données ESANE.</w:t>
      </w:r>
    </w:p>
    <w:p w14:paraId="659AE06E" w14:textId="5CB32173" w:rsidR="006239D3" w:rsidRDefault="0093228B" w:rsidP="008F277B">
      <w:r>
        <w:t>Donnons un exemple de proratisation avec une exonération sociale : la réduction de cotisations d’allocations. Nous</w:t>
      </w:r>
      <w:r w:rsidR="7F75A408">
        <w:t xml:space="preserve"> utilisons les</w:t>
      </w:r>
      <w:r w:rsidR="00856825">
        <w:t xml:space="preserve"> d</w:t>
      </w:r>
      <w:r w:rsidR="00A812F1">
        <w:t xml:space="preserve">onnées ESANE 2021 pour </w:t>
      </w:r>
      <w:r w:rsidR="002047F0">
        <w:t xml:space="preserve">calculer les parts que représente chaque </w:t>
      </w:r>
      <w:r w:rsidR="00856825">
        <w:t xml:space="preserve">secteur </w:t>
      </w:r>
      <w:r w:rsidR="6D4B548D">
        <w:t>d’intérêt</w:t>
      </w:r>
      <w:r w:rsidR="002047F0">
        <w:t xml:space="preserve"> </w:t>
      </w:r>
      <w:r w:rsidR="00856825">
        <w:t>(</w:t>
      </w:r>
      <w:r w:rsidR="002047F0">
        <w:t>code NAF</w:t>
      </w:r>
      <w:r w:rsidR="00856825">
        <w:t>)</w:t>
      </w:r>
      <w:r w:rsidR="002047F0">
        <w:t xml:space="preserve"> dans le total des salarié</w:t>
      </w:r>
      <w:r w:rsidR="006239F3">
        <w:t>.e</w:t>
      </w:r>
      <w:r w:rsidR="002047F0">
        <w:t>s.</w:t>
      </w:r>
      <w:r w:rsidR="00B4773B">
        <w:t xml:space="preserve"> On s’intéresse plus particulièrement à la part</w:t>
      </w:r>
      <w:r w:rsidR="006239D3">
        <w:t xml:space="preserve"> des effectifs salariés ETP au 31 décembre 2021</w:t>
      </w:r>
      <w:r w:rsidR="009F7A29">
        <w:t> </w:t>
      </w:r>
      <w:r w:rsidR="00B4773B">
        <w:t xml:space="preserve">de chaque secteur dans le total des salarié.es </w:t>
      </w:r>
      <w:r w:rsidR="75E32606">
        <w:t>des bénéficiaires du tableau ci-dessus.</w:t>
      </w:r>
      <w:r w:rsidR="000F3C91">
        <w:t xml:space="preserve"> </w:t>
      </w:r>
      <w:r w:rsidR="00370551">
        <w:t>A ces salarié</w:t>
      </w:r>
      <w:r w:rsidR="00CA2396">
        <w:t>.e</w:t>
      </w:r>
      <w:r w:rsidR="00370551">
        <w:t>s on ajoute le nombre en ETP de salarié</w:t>
      </w:r>
      <w:r w:rsidR="00CA2396">
        <w:t>.e</w:t>
      </w:r>
      <w:r w:rsidR="00370551">
        <w:t>s agricoles et aquacoles</w:t>
      </w:r>
      <w:r w:rsidR="00401182">
        <w:t> :</w:t>
      </w:r>
    </w:p>
    <w:p w14:paraId="5FD8FDAA" w14:textId="02918457" w:rsidR="000E6DF7" w:rsidRDefault="001B5679">
      <w:pPr>
        <w:pStyle w:val="Paragraphedeliste"/>
        <w:numPr>
          <w:ilvl w:val="0"/>
          <w:numId w:val="10"/>
        </w:numPr>
      </w:pPr>
      <w:r>
        <w:t xml:space="preserve">PRODAGRI : </w:t>
      </w:r>
      <w:r w:rsidR="00370551">
        <w:t>Salarié</w:t>
      </w:r>
      <w:r>
        <w:t>.e</w:t>
      </w:r>
      <w:r w:rsidR="00370551">
        <w:t>s agricoles : recensement agricole 2020</w:t>
      </w:r>
      <w:r w:rsidR="00C07937">
        <w:rPr>
          <w:rStyle w:val="Appelnotedebasdep"/>
        </w:rPr>
        <w:footnoteReference w:id="2"/>
      </w:r>
      <w:r w:rsidR="000E6DF7">
        <w:t xml:space="preserve"> : </w:t>
      </w:r>
      <w:r w:rsidR="000E6DF7" w:rsidRPr="000E6DF7">
        <w:t>Salarié permanent non familial (milliers ETP)</w:t>
      </w:r>
      <w:r w:rsidR="000E6DF7">
        <w:t xml:space="preserve"> + </w:t>
      </w:r>
      <w:r w:rsidR="000E6DF7" w:rsidRPr="000E6DF7">
        <w:t>Saisonniers ou occasionnels (milliers ETP)</w:t>
      </w:r>
      <w:r w:rsidR="000E6DF7">
        <w:t xml:space="preserve"> + </w:t>
      </w:r>
      <w:r w:rsidR="000E6DF7" w:rsidRPr="000E6DF7">
        <w:t>Main-d'œuvre familiale permanente (milliers ETP)</w:t>
      </w:r>
      <w:r w:rsidR="00915982">
        <w:t xml:space="preserve"> </w:t>
      </w:r>
    </w:p>
    <w:p w14:paraId="7997A15D" w14:textId="77777777" w:rsidR="000E6DF7" w:rsidRDefault="000E6DF7" w:rsidP="000E6DF7">
      <w:pPr>
        <w:pStyle w:val="Paragraphedeliste"/>
      </w:pPr>
    </w:p>
    <w:p w14:paraId="5288D36B" w14:textId="077B267F" w:rsidR="00A812F1" w:rsidRDefault="001B5679">
      <w:pPr>
        <w:pStyle w:val="Paragraphedeliste"/>
        <w:numPr>
          <w:ilvl w:val="0"/>
          <w:numId w:val="10"/>
        </w:numPr>
      </w:pPr>
      <w:r>
        <w:t xml:space="preserve">PRODAQUA : </w:t>
      </w:r>
      <w:r w:rsidR="00370551">
        <w:t xml:space="preserve">Salariés aquacoles : </w:t>
      </w:r>
      <w:r w:rsidR="006239F3">
        <w:t>A</w:t>
      </w:r>
      <w:r w:rsidR="00370551">
        <w:t>greste</w:t>
      </w:r>
      <w:r w:rsidR="00EF2E91">
        <w:t xml:space="preserve"> 2020</w:t>
      </w:r>
      <w:r w:rsidR="008A4A09">
        <w:rPr>
          <w:rStyle w:val="Appelnotedebasdep"/>
        </w:rPr>
        <w:footnoteReference w:id="3"/>
      </w:r>
      <w:r w:rsidR="00EF2E91">
        <w:t xml:space="preserve"> </w:t>
      </w:r>
      <w:r w:rsidR="00A91ACA">
        <w:t>(salarié</w:t>
      </w:r>
      <w:r>
        <w:t>.e</w:t>
      </w:r>
      <w:r w:rsidR="00A91ACA">
        <w:t>s et non-salarié</w:t>
      </w:r>
      <w:r>
        <w:t>.e</w:t>
      </w:r>
      <w:r w:rsidR="00A91ACA">
        <w:t>s)</w:t>
      </w:r>
      <w:r w:rsidR="00EF2E91">
        <w:t>, car l</w:t>
      </w:r>
      <w:r w:rsidR="00A91ACA">
        <w:t>e nombre de salariés seuls n’existe pas.</w:t>
      </w:r>
    </w:p>
    <w:p w14:paraId="7FEF4742" w14:textId="77777777" w:rsidR="003B410D" w:rsidRDefault="003B410D" w:rsidP="003B410D">
      <w:pPr>
        <w:pStyle w:val="Paragraphedeliste"/>
      </w:pPr>
    </w:p>
    <w:p w14:paraId="6641A8A2" w14:textId="2B7CE476" w:rsidR="003B410D" w:rsidRDefault="00401182" w:rsidP="003B410D">
      <w:r>
        <w:t xml:space="preserve">Nous obtenons ainsi un pourcentage </w:t>
      </w:r>
      <w:r w:rsidR="00820EF3">
        <w:t xml:space="preserve">d’ETP de l’économie </w:t>
      </w:r>
      <w:r>
        <w:t>associé à chaque catégorie, que l’on utilise pour proratiser les financements concernés.</w:t>
      </w:r>
      <w:r w:rsidR="6F30EB6D">
        <w:t xml:space="preserve"> Pour plus de détail, voir partie</w:t>
      </w:r>
      <w:r w:rsidR="000A5C09">
        <w:t xml:space="preserve"> </w:t>
      </w:r>
      <w:r w:rsidR="000A5C09">
        <w:fldChar w:fldCharType="begin"/>
      </w:r>
      <w:r w:rsidR="000A5C09">
        <w:instrText xml:space="preserve"> REF _Ref164951386 \r \h </w:instrText>
      </w:r>
      <w:r w:rsidR="000A5C09">
        <w:fldChar w:fldCharType="separate"/>
      </w:r>
      <w:r w:rsidR="000A5C09">
        <w:t>6</w:t>
      </w:r>
      <w:r w:rsidR="000A5C09">
        <w:fldChar w:fldCharType="end"/>
      </w:r>
      <w:r w:rsidR="6F30EB6D">
        <w:t>.</w:t>
      </w:r>
    </w:p>
    <w:p w14:paraId="2C6B52C9" w14:textId="708137B8" w:rsidR="00401182" w:rsidRPr="00A812F1" w:rsidRDefault="2C6542BF" w:rsidP="001B6CA9">
      <w:pPr>
        <w:pStyle w:val="Titre2"/>
      </w:pPr>
      <w:bookmarkStart w:id="29" w:name="_Toc1453974876"/>
      <w:bookmarkStart w:id="30" w:name="_Ref164952273"/>
      <w:bookmarkStart w:id="31" w:name="_Toc177052052"/>
      <w:r>
        <w:lastRenderedPageBreak/>
        <w:t xml:space="preserve">Le cas des </w:t>
      </w:r>
      <w:r w:rsidR="7A67767F">
        <w:t>montant</w:t>
      </w:r>
      <w:r w:rsidR="67ED0635">
        <w:t>s</w:t>
      </w:r>
      <w:r w:rsidR="57217EBC">
        <w:t xml:space="preserve"> </w:t>
      </w:r>
      <w:r w:rsidR="743FA62A">
        <w:t xml:space="preserve">non </w:t>
      </w:r>
      <w:r w:rsidR="72EB3403">
        <w:t xml:space="preserve">disponibles </w:t>
      </w:r>
      <w:r w:rsidR="743FA62A">
        <w:t>dans les documents budgétaires</w:t>
      </w:r>
      <w:r w:rsidR="57217EBC">
        <w:t xml:space="preserve"> : l’</w:t>
      </w:r>
      <w:r w:rsidR="10622D01">
        <w:t>e</w:t>
      </w:r>
      <w:r w:rsidR="00953A05">
        <w:t>stimation</w:t>
      </w:r>
      <w:bookmarkEnd w:id="29"/>
      <w:bookmarkEnd w:id="30"/>
      <w:bookmarkEnd w:id="31"/>
    </w:p>
    <w:p w14:paraId="305BF8FE" w14:textId="70B13E58" w:rsidR="0C2E180E" w:rsidRDefault="0C2E180E" w:rsidP="37DF53CA">
      <w:r>
        <w:t xml:space="preserve">Il arrive que de la donnée consolidée ne soit pas </w:t>
      </w:r>
      <w:r w:rsidR="6923DC41">
        <w:t>isolée,</w:t>
      </w:r>
      <w:r w:rsidR="26DF6BF6">
        <w:t xml:space="preserve"> </w:t>
      </w:r>
      <w:r>
        <w:t>accessible ou existante</w:t>
      </w:r>
      <w:r w:rsidR="2620D239">
        <w:t xml:space="preserve"> dans les documents budgétaires publics</w:t>
      </w:r>
      <w:r w:rsidR="26DF6BF6">
        <w:t>.</w:t>
      </w:r>
      <w:r>
        <w:t xml:space="preserve"> C’est le cas par exemple de</w:t>
      </w:r>
      <w:r w:rsidR="659E2664">
        <w:t xml:space="preserve"> la plupart des</w:t>
      </w:r>
      <w:r>
        <w:t xml:space="preserve"> dépenses publiques de restauration co</w:t>
      </w:r>
      <w:r w:rsidR="6B808AA6">
        <w:t>llective</w:t>
      </w:r>
      <w:r w:rsidR="0977E271">
        <w:t xml:space="preserve"> (scolaire, hospitalière, EHPAD...)</w:t>
      </w:r>
      <w:r w:rsidR="6B808AA6">
        <w:t>.</w:t>
      </w:r>
      <w:r w:rsidR="448F967D">
        <w:t xml:space="preserve"> Là encore, une première option pourrait être de chercher des estimations dans la littérature. En l'absence de chiffra</w:t>
      </w:r>
      <w:r w:rsidR="36B1F41E">
        <w:t>ges de ce type</w:t>
      </w:r>
      <w:r w:rsidR="255419B2">
        <w:t>, nous avons procédé à des extrapolations</w:t>
      </w:r>
      <w:r w:rsidR="570DBECB">
        <w:t>, basé</w:t>
      </w:r>
      <w:r w:rsidR="00FE1FFE">
        <w:t>e</w:t>
      </w:r>
      <w:r w:rsidR="570DBECB">
        <w:t>s sur des données de volumes disponibles par ailleurs</w:t>
      </w:r>
      <w:r w:rsidR="255419B2">
        <w:t>.</w:t>
      </w:r>
      <w:r w:rsidR="45906A14">
        <w:t xml:space="preserve"> </w:t>
      </w:r>
      <w:r w:rsidR="1E526E3A">
        <w:t xml:space="preserve">Dans le cas de la </w:t>
      </w:r>
      <w:r w:rsidR="2A1E671C">
        <w:t xml:space="preserve">restauration collective publique, l’extrapolation consiste </w:t>
      </w:r>
      <w:r w:rsidR="255419B2">
        <w:t>en la multiplication du coût public moyen d’un repas par le nombre total de repas servis</w:t>
      </w:r>
    </w:p>
    <w:p w14:paraId="43227162" w14:textId="69D9173E" w:rsidR="0E6E54A3" w:rsidRDefault="1304EE6F" w:rsidP="001B6CA9">
      <w:pPr>
        <w:pStyle w:val="Titre2"/>
      </w:pPr>
      <w:bookmarkStart w:id="32" w:name="_Toc1857135984"/>
      <w:bookmarkStart w:id="33" w:name="_Toc177052053"/>
      <w:r>
        <w:t>Le cas des années manquantes : application de l’inflation</w:t>
      </w:r>
      <w:bookmarkEnd w:id="32"/>
      <w:bookmarkEnd w:id="33"/>
    </w:p>
    <w:p w14:paraId="1C335093" w14:textId="686E0076" w:rsidR="007B6D10" w:rsidRDefault="7A78B22D" w:rsidP="00AE1089">
      <w:r>
        <w:t>Notamment lorsque nous nous basons sur un chiffrage de la littérature, il arrive souvent que ce chiffrage ne porte que sur une année</w:t>
      </w:r>
      <w:r w:rsidR="201B1DCE">
        <w:t xml:space="preserve">. Dans ce cas, nous appliquons l’inflation générale </w:t>
      </w:r>
      <w:r w:rsidR="1E3AF310">
        <w:t xml:space="preserve">calculée par la Banque mondiale pour la France (Tableau </w:t>
      </w:r>
      <w:r w:rsidR="00DA5A35">
        <w:t>ci-dessous</w:t>
      </w:r>
      <w:r w:rsidR="1E3AF310">
        <w:t>).</w:t>
      </w:r>
      <w:r w:rsidR="00F34ABF" w:rsidRPr="00F34ABF">
        <w:t xml:space="preserve"> </w:t>
      </w:r>
      <w:r w:rsidR="00F34ABF">
        <w:t>Pour l’année 2024, nous utilisons une projection d’inflation de la Banque de France</w:t>
      </w:r>
      <w:r w:rsidR="00F34ABF">
        <w:rPr>
          <w:rStyle w:val="Appelnotedebasdep"/>
        </w:rPr>
        <w:footnoteReference w:id="4"/>
      </w:r>
      <w:r w:rsidR="00F34ABF">
        <w:t>.</w:t>
      </w:r>
    </w:p>
    <w:p w14:paraId="6F87D423" w14:textId="68F50F14" w:rsidR="00AE1089" w:rsidRDefault="00AE1089" w:rsidP="00AE1089">
      <w:pPr>
        <w:pStyle w:val="Lgende"/>
        <w:keepNext/>
      </w:pPr>
      <w:bookmarkStart w:id="34" w:name="_Ref177051625"/>
      <w:r>
        <w:t xml:space="preserve">Tableau </w:t>
      </w:r>
      <w:fldSimple w:instr=" SEQ Tableau \* ARABIC ">
        <w:r>
          <w:rPr>
            <w:noProof/>
          </w:rPr>
          <w:t>1</w:t>
        </w:r>
      </w:fldSimple>
      <w:bookmarkEnd w:id="34"/>
      <w:r>
        <w:t> : Inflation utilisée</w:t>
      </w:r>
    </w:p>
    <w:tbl>
      <w:tblPr>
        <w:tblW w:w="10349" w:type="dxa"/>
        <w:tblInd w:w="-284" w:type="dxa"/>
        <w:tblLayout w:type="fixed"/>
        <w:tblCellMar>
          <w:left w:w="70" w:type="dxa"/>
          <w:right w:w="70" w:type="dxa"/>
        </w:tblCellMar>
        <w:tblLook w:val="04A0" w:firstRow="1" w:lastRow="0" w:firstColumn="1" w:lastColumn="0" w:noHBand="0" w:noVBand="1"/>
      </w:tblPr>
      <w:tblGrid>
        <w:gridCol w:w="2835"/>
        <w:gridCol w:w="1560"/>
        <w:gridCol w:w="1134"/>
        <w:gridCol w:w="688"/>
        <w:gridCol w:w="689"/>
        <w:gridCol w:w="688"/>
        <w:gridCol w:w="689"/>
        <w:gridCol w:w="688"/>
        <w:gridCol w:w="689"/>
        <w:gridCol w:w="689"/>
      </w:tblGrid>
      <w:tr w:rsidR="004E15C4" w:rsidRPr="00A71D39" w14:paraId="4E5C5E45" w14:textId="77777777" w:rsidTr="004E15C4">
        <w:trPr>
          <w:trHeight w:val="300"/>
        </w:trPr>
        <w:tc>
          <w:tcPr>
            <w:tcW w:w="2835" w:type="dxa"/>
            <w:tcBorders>
              <w:top w:val="nil"/>
              <w:left w:val="nil"/>
              <w:bottom w:val="nil"/>
              <w:right w:val="nil"/>
            </w:tcBorders>
            <w:shd w:val="clear" w:color="auto" w:fill="auto"/>
            <w:noWrap/>
            <w:vAlign w:val="bottom"/>
            <w:hideMark/>
          </w:tcPr>
          <w:p w14:paraId="79EE0C80" w14:textId="395A4BFB" w:rsidR="00A71D39" w:rsidRPr="00A71D39" w:rsidRDefault="00A71D39" w:rsidP="00A71D39">
            <w:pPr>
              <w:spacing w:after="0"/>
              <w:jc w:val="left"/>
              <w:rPr>
                <w:rFonts w:eastAsia="Times New Roman" w:cs="Calibri"/>
                <w:b/>
                <w:bCs/>
                <w:color w:val="000000"/>
                <w:lang w:eastAsia="fr-FR"/>
              </w:rPr>
            </w:pPr>
          </w:p>
        </w:tc>
        <w:tc>
          <w:tcPr>
            <w:tcW w:w="1560" w:type="dxa"/>
            <w:tcBorders>
              <w:top w:val="single" w:sz="4" w:space="0" w:color="auto"/>
              <w:left w:val="single" w:sz="4" w:space="0" w:color="auto"/>
              <w:bottom w:val="single" w:sz="4" w:space="0" w:color="auto"/>
              <w:right w:val="single" w:sz="4" w:space="0" w:color="auto"/>
            </w:tcBorders>
            <w:shd w:val="clear" w:color="auto" w:fill="262626" w:themeFill="text1" w:themeFillTint="D9"/>
            <w:noWrap/>
            <w:vAlign w:val="bottom"/>
            <w:hideMark/>
          </w:tcPr>
          <w:p w14:paraId="3C6278DF" w14:textId="5821B652" w:rsidR="00A71D39" w:rsidRPr="00A71D39" w:rsidRDefault="00A71D39" w:rsidP="00A71D39">
            <w:pPr>
              <w:spacing w:after="0"/>
              <w:jc w:val="left"/>
              <w:rPr>
                <w:rFonts w:eastAsia="Times New Roman" w:cs="Calibri"/>
                <w:b/>
                <w:bCs/>
                <w:color w:val="FFFFFF" w:themeColor="background1"/>
                <w:lang w:eastAsia="fr-FR"/>
              </w:rPr>
            </w:pPr>
            <w:r w:rsidRPr="00A71D39">
              <w:rPr>
                <w:rFonts w:eastAsia="Times New Roman" w:cs="Calibri"/>
                <w:b/>
                <w:bCs/>
                <w:color w:val="FFFFFF" w:themeColor="background1"/>
                <w:lang w:eastAsia="fr-FR"/>
              </w:rPr>
              <w:t>Code</w:t>
            </w:r>
          </w:p>
        </w:tc>
        <w:tc>
          <w:tcPr>
            <w:tcW w:w="1134" w:type="dxa"/>
            <w:tcBorders>
              <w:top w:val="single" w:sz="4" w:space="0" w:color="auto"/>
              <w:left w:val="nil"/>
              <w:bottom w:val="single" w:sz="4" w:space="0" w:color="auto"/>
              <w:right w:val="single" w:sz="4" w:space="0" w:color="auto"/>
            </w:tcBorders>
            <w:shd w:val="clear" w:color="auto" w:fill="262626" w:themeFill="text1" w:themeFillTint="D9"/>
            <w:noWrap/>
            <w:vAlign w:val="bottom"/>
            <w:hideMark/>
          </w:tcPr>
          <w:p w14:paraId="28C3CBEB" w14:textId="77777777" w:rsidR="00A71D39" w:rsidRPr="00A71D39" w:rsidRDefault="00A71D39" w:rsidP="00A71D39">
            <w:pPr>
              <w:spacing w:after="0"/>
              <w:jc w:val="left"/>
              <w:rPr>
                <w:rFonts w:eastAsia="Times New Roman" w:cs="Calibri"/>
                <w:b/>
                <w:bCs/>
                <w:color w:val="FFFFFF" w:themeColor="background1"/>
                <w:lang w:eastAsia="fr-FR"/>
              </w:rPr>
            </w:pPr>
            <w:r w:rsidRPr="00A71D39">
              <w:rPr>
                <w:rFonts w:eastAsia="Times New Roman" w:cs="Calibri"/>
                <w:b/>
                <w:bCs/>
                <w:color w:val="FFFFFF" w:themeColor="background1"/>
                <w:lang w:eastAsia="fr-FR"/>
              </w:rPr>
              <w:t>Source</w:t>
            </w:r>
          </w:p>
        </w:tc>
        <w:tc>
          <w:tcPr>
            <w:tcW w:w="688" w:type="dxa"/>
            <w:tcBorders>
              <w:top w:val="single" w:sz="4" w:space="0" w:color="auto"/>
              <w:left w:val="nil"/>
              <w:bottom w:val="single" w:sz="4" w:space="0" w:color="auto"/>
              <w:right w:val="single" w:sz="4" w:space="0" w:color="auto"/>
            </w:tcBorders>
            <w:shd w:val="clear" w:color="auto" w:fill="262626" w:themeFill="text1" w:themeFillTint="D9"/>
            <w:noWrap/>
            <w:hideMark/>
          </w:tcPr>
          <w:p w14:paraId="7A72C617"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2018</w:t>
            </w:r>
          </w:p>
        </w:tc>
        <w:tc>
          <w:tcPr>
            <w:tcW w:w="689" w:type="dxa"/>
            <w:tcBorders>
              <w:top w:val="single" w:sz="4" w:space="0" w:color="auto"/>
              <w:left w:val="nil"/>
              <w:bottom w:val="single" w:sz="4" w:space="0" w:color="auto"/>
              <w:right w:val="single" w:sz="4" w:space="0" w:color="auto"/>
            </w:tcBorders>
            <w:shd w:val="clear" w:color="auto" w:fill="262626" w:themeFill="text1" w:themeFillTint="D9"/>
            <w:noWrap/>
            <w:hideMark/>
          </w:tcPr>
          <w:p w14:paraId="20266AC0"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2019</w:t>
            </w:r>
          </w:p>
        </w:tc>
        <w:tc>
          <w:tcPr>
            <w:tcW w:w="688" w:type="dxa"/>
            <w:tcBorders>
              <w:top w:val="single" w:sz="4" w:space="0" w:color="auto"/>
              <w:left w:val="nil"/>
              <w:bottom w:val="single" w:sz="4" w:space="0" w:color="auto"/>
              <w:right w:val="single" w:sz="4" w:space="0" w:color="auto"/>
            </w:tcBorders>
            <w:shd w:val="clear" w:color="auto" w:fill="262626" w:themeFill="text1" w:themeFillTint="D9"/>
            <w:noWrap/>
            <w:hideMark/>
          </w:tcPr>
          <w:p w14:paraId="7CDA0E1B"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2020</w:t>
            </w:r>
          </w:p>
        </w:tc>
        <w:tc>
          <w:tcPr>
            <w:tcW w:w="689" w:type="dxa"/>
            <w:tcBorders>
              <w:top w:val="single" w:sz="4" w:space="0" w:color="auto"/>
              <w:left w:val="nil"/>
              <w:bottom w:val="single" w:sz="4" w:space="0" w:color="auto"/>
              <w:right w:val="single" w:sz="4" w:space="0" w:color="auto"/>
            </w:tcBorders>
            <w:shd w:val="clear" w:color="auto" w:fill="262626" w:themeFill="text1" w:themeFillTint="D9"/>
            <w:noWrap/>
            <w:hideMark/>
          </w:tcPr>
          <w:p w14:paraId="545C1127"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2021</w:t>
            </w:r>
          </w:p>
        </w:tc>
        <w:tc>
          <w:tcPr>
            <w:tcW w:w="688" w:type="dxa"/>
            <w:tcBorders>
              <w:top w:val="single" w:sz="4" w:space="0" w:color="auto"/>
              <w:left w:val="nil"/>
              <w:bottom w:val="single" w:sz="4" w:space="0" w:color="auto"/>
              <w:right w:val="single" w:sz="4" w:space="0" w:color="auto"/>
            </w:tcBorders>
            <w:shd w:val="clear" w:color="auto" w:fill="262626" w:themeFill="text1" w:themeFillTint="D9"/>
            <w:noWrap/>
            <w:hideMark/>
          </w:tcPr>
          <w:p w14:paraId="6B0ADC02"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2022</w:t>
            </w:r>
          </w:p>
        </w:tc>
        <w:tc>
          <w:tcPr>
            <w:tcW w:w="689" w:type="dxa"/>
            <w:tcBorders>
              <w:top w:val="single" w:sz="4" w:space="0" w:color="auto"/>
              <w:left w:val="nil"/>
              <w:bottom w:val="single" w:sz="4" w:space="0" w:color="auto"/>
              <w:right w:val="single" w:sz="4" w:space="0" w:color="auto"/>
            </w:tcBorders>
            <w:shd w:val="clear" w:color="auto" w:fill="262626" w:themeFill="text1" w:themeFillTint="D9"/>
            <w:noWrap/>
            <w:hideMark/>
          </w:tcPr>
          <w:p w14:paraId="1AA72693"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2023</w:t>
            </w:r>
          </w:p>
        </w:tc>
        <w:tc>
          <w:tcPr>
            <w:tcW w:w="689" w:type="dxa"/>
            <w:tcBorders>
              <w:top w:val="single" w:sz="4" w:space="0" w:color="auto"/>
              <w:left w:val="nil"/>
              <w:bottom w:val="single" w:sz="4" w:space="0" w:color="auto"/>
              <w:right w:val="single" w:sz="4" w:space="0" w:color="auto"/>
            </w:tcBorders>
            <w:shd w:val="clear" w:color="auto" w:fill="262626" w:themeFill="text1" w:themeFillTint="D9"/>
            <w:noWrap/>
            <w:hideMark/>
          </w:tcPr>
          <w:p w14:paraId="197F93F8" w14:textId="77777777" w:rsidR="00A71D39" w:rsidRPr="00A71D39" w:rsidRDefault="00A71D39" w:rsidP="00C63502">
            <w:pPr>
              <w:spacing w:after="0"/>
              <w:jc w:val="center"/>
              <w:rPr>
                <w:rFonts w:eastAsia="Times New Roman" w:cs="Calibri"/>
                <w:b/>
                <w:bCs/>
                <w:color w:val="FFFFFF" w:themeColor="background1"/>
                <w:lang w:eastAsia="fr-FR"/>
              </w:rPr>
            </w:pPr>
            <w:r w:rsidRPr="00A71D39">
              <w:rPr>
                <w:rFonts w:eastAsia="Times New Roman" w:cs="Calibri"/>
                <w:b/>
                <w:bCs/>
                <w:color w:val="FFFFFF" w:themeColor="background1"/>
                <w:lang w:eastAsia="fr-FR"/>
              </w:rPr>
              <w:t>2024</w:t>
            </w:r>
          </w:p>
        </w:tc>
      </w:tr>
      <w:tr w:rsidR="00C63502" w:rsidRPr="00A71D39" w14:paraId="0A8CFA0F" w14:textId="77777777" w:rsidTr="004E15C4">
        <w:trPr>
          <w:trHeight w:val="300"/>
        </w:trPr>
        <w:tc>
          <w:tcPr>
            <w:tcW w:w="2835" w:type="dxa"/>
            <w:tcBorders>
              <w:top w:val="single" w:sz="4" w:space="0" w:color="auto"/>
              <w:left w:val="single" w:sz="4" w:space="0" w:color="auto"/>
              <w:bottom w:val="single" w:sz="4" w:space="0" w:color="auto"/>
              <w:right w:val="nil"/>
            </w:tcBorders>
            <w:shd w:val="clear" w:color="auto" w:fill="auto"/>
            <w:noWrap/>
            <w:hideMark/>
          </w:tcPr>
          <w:p w14:paraId="48995A5A"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Inflation, prix à la consommation (% annuel)</w:t>
            </w:r>
          </w:p>
        </w:tc>
        <w:tc>
          <w:tcPr>
            <w:tcW w:w="1560" w:type="dxa"/>
            <w:tcBorders>
              <w:top w:val="nil"/>
              <w:left w:val="single" w:sz="4" w:space="0" w:color="auto"/>
              <w:bottom w:val="single" w:sz="4" w:space="0" w:color="auto"/>
              <w:right w:val="single" w:sz="4" w:space="0" w:color="auto"/>
            </w:tcBorders>
            <w:shd w:val="clear" w:color="auto" w:fill="auto"/>
            <w:noWrap/>
            <w:hideMark/>
          </w:tcPr>
          <w:p w14:paraId="3E2C0E01"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FP.CPI.TOTL.ZG</w:t>
            </w:r>
          </w:p>
        </w:tc>
        <w:tc>
          <w:tcPr>
            <w:tcW w:w="1134" w:type="dxa"/>
            <w:tcBorders>
              <w:top w:val="nil"/>
              <w:left w:val="nil"/>
              <w:bottom w:val="single" w:sz="4" w:space="0" w:color="auto"/>
              <w:right w:val="single" w:sz="4" w:space="0" w:color="auto"/>
            </w:tcBorders>
            <w:shd w:val="clear" w:color="auto" w:fill="auto"/>
            <w:noWrap/>
            <w:hideMark/>
          </w:tcPr>
          <w:p w14:paraId="3B221800" w14:textId="77777777" w:rsidR="00C63502" w:rsidRPr="00A71D39" w:rsidRDefault="008F025D" w:rsidP="00C63502">
            <w:pPr>
              <w:spacing w:after="0"/>
              <w:jc w:val="left"/>
              <w:rPr>
                <w:rFonts w:eastAsia="Times New Roman" w:cs="Calibri"/>
                <w:color w:val="0563C1"/>
                <w:u w:val="single"/>
                <w:lang w:eastAsia="fr-FR"/>
              </w:rPr>
            </w:pPr>
            <w:hyperlink r:id="rId13" w:history="1">
              <w:r w:rsidR="00C63502" w:rsidRPr="00A71D39">
                <w:rPr>
                  <w:rFonts w:eastAsia="Times New Roman" w:cs="Calibri"/>
                  <w:color w:val="0563C1"/>
                  <w:u w:val="single"/>
                  <w:lang w:eastAsia="fr-FR"/>
                </w:rPr>
                <w:t>Banque mondiale</w:t>
              </w:r>
            </w:hyperlink>
          </w:p>
        </w:tc>
        <w:tc>
          <w:tcPr>
            <w:tcW w:w="688" w:type="dxa"/>
            <w:tcBorders>
              <w:top w:val="nil"/>
              <w:left w:val="nil"/>
              <w:bottom w:val="single" w:sz="4" w:space="0" w:color="auto"/>
              <w:right w:val="single" w:sz="4" w:space="0" w:color="auto"/>
            </w:tcBorders>
            <w:shd w:val="clear" w:color="000000" w:fill="D9E1F2"/>
            <w:noWrap/>
            <w:hideMark/>
          </w:tcPr>
          <w:p w14:paraId="25FF9776" w14:textId="22C0465D" w:rsidR="00C63502" w:rsidRPr="00A71D39" w:rsidRDefault="00C63502" w:rsidP="00C63502">
            <w:pPr>
              <w:spacing w:after="0"/>
              <w:jc w:val="center"/>
              <w:rPr>
                <w:rFonts w:eastAsia="Times New Roman" w:cs="Calibri"/>
                <w:color w:val="000000"/>
                <w:lang w:eastAsia="fr-FR"/>
              </w:rPr>
            </w:pPr>
            <w:r w:rsidRPr="004E15C4">
              <w:rPr>
                <w:rFonts w:cs="Calibri"/>
                <w:color w:val="000000"/>
              </w:rPr>
              <w:t>1,9</w:t>
            </w:r>
          </w:p>
        </w:tc>
        <w:tc>
          <w:tcPr>
            <w:tcW w:w="689" w:type="dxa"/>
            <w:tcBorders>
              <w:top w:val="nil"/>
              <w:left w:val="nil"/>
              <w:bottom w:val="single" w:sz="4" w:space="0" w:color="auto"/>
              <w:right w:val="single" w:sz="4" w:space="0" w:color="auto"/>
            </w:tcBorders>
            <w:shd w:val="clear" w:color="auto" w:fill="D9E1F2"/>
            <w:noWrap/>
            <w:hideMark/>
          </w:tcPr>
          <w:p w14:paraId="59624D14" w14:textId="62DF57DE" w:rsidR="00C63502" w:rsidRPr="00A71D39" w:rsidRDefault="00C63502" w:rsidP="00C63502">
            <w:pPr>
              <w:spacing w:after="0"/>
              <w:jc w:val="center"/>
              <w:rPr>
                <w:rFonts w:eastAsia="Times New Roman" w:cs="Calibri"/>
                <w:color w:val="000000"/>
                <w:lang w:eastAsia="fr-FR"/>
              </w:rPr>
            </w:pPr>
            <w:r w:rsidRPr="004E15C4">
              <w:rPr>
                <w:rFonts w:cs="Calibri"/>
                <w:color w:val="000000"/>
              </w:rPr>
              <w:t>1,1</w:t>
            </w:r>
          </w:p>
        </w:tc>
        <w:tc>
          <w:tcPr>
            <w:tcW w:w="688" w:type="dxa"/>
            <w:tcBorders>
              <w:top w:val="nil"/>
              <w:left w:val="nil"/>
              <w:bottom w:val="single" w:sz="4" w:space="0" w:color="auto"/>
              <w:right w:val="single" w:sz="4" w:space="0" w:color="auto"/>
            </w:tcBorders>
            <w:shd w:val="clear" w:color="000000" w:fill="D9E1F2"/>
            <w:noWrap/>
            <w:hideMark/>
          </w:tcPr>
          <w:p w14:paraId="2B33CF7C" w14:textId="41E1F6F6" w:rsidR="00C63502" w:rsidRPr="00A71D39" w:rsidRDefault="00C63502" w:rsidP="00C63502">
            <w:pPr>
              <w:spacing w:after="0"/>
              <w:jc w:val="center"/>
              <w:rPr>
                <w:rFonts w:eastAsia="Times New Roman" w:cs="Calibri"/>
                <w:color w:val="000000"/>
                <w:lang w:eastAsia="fr-FR"/>
              </w:rPr>
            </w:pPr>
            <w:r w:rsidRPr="004E15C4">
              <w:rPr>
                <w:rFonts w:cs="Calibri"/>
                <w:color w:val="000000"/>
              </w:rPr>
              <w:t>0,5</w:t>
            </w:r>
          </w:p>
        </w:tc>
        <w:tc>
          <w:tcPr>
            <w:tcW w:w="689" w:type="dxa"/>
            <w:tcBorders>
              <w:top w:val="nil"/>
              <w:left w:val="nil"/>
              <w:bottom w:val="single" w:sz="4" w:space="0" w:color="auto"/>
              <w:right w:val="single" w:sz="4" w:space="0" w:color="auto"/>
            </w:tcBorders>
            <w:shd w:val="clear" w:color="000000" w:fill="D9E1F2"/>
            <w:noWrap/>
            <w:hideMark/>
          </w:tcPr>
          <w:p w14:paraId="7DAB8C01" w14:textId="72E6747A" w:rsidR="00C63502" w:rsidRPr="00A71D39" w:rsidRDefault="00C63502" w:rsidP="00C63502">
            <w:pPr>
              <w:spacing w:after="0"/>
              <w:jc w:val="center"/>
              <w:rPr>
                <w:rFonts w:eastAsia="Times New Roman" w:cs="Calibri"/>
                <w:color w:val="000000"/>
                <w:lang w:eastAsia="fr-FR"/>
              </w:rPr>
            </w:pPr>
            <w:r w:rsidRPr="004E15C4">
              <w:rPr>
                <w:rFonts w:cs="Calibri"/>
                <w:color w:val="000000"/>
              </w:rPr>
              <w:t>1,6</w:t>
            </w:r>
          </w:p>
        </w:tc>
        <w:tc>
          <w:tcPr>
            <w:tcW w:w="688" w:type="dxa"/>
            <w:tcBorders>
              <w:top w:val="nil"/>
              <w:left w:val="nil"/>
              <w:bottom w:val="single" w:sz="4" w:space="0" w:color="auto"/>
              <w:right w:val="single" w:sz="4" w:space="0" w:color="auto"/>
            </w:tcBorders>
            <w:shd w:val="clear" w:color="000000" w:fill="D9E1F2"/>
            <w:noWrap/>
            <w:hideMark/>
          </w:tcPr>
          <w:p w14:paraId="3926F8E7" w14:textId="7F41F3C1" w:rsidR="00C63502" w:rsidRPr="00A71D39" w:rsidRDefault="00C63502" w:rsidP="00C63502">
            <w:pPr>
              <w:spacing w:after="0"/>
              <w:jc w:val="center"/>
              <w:rPr>
                <w:rFonts w:eastAsia="Times New Roman" w:cs="Calibri"/>
                <w:color w:val="000000"/>
                <w:lang w:eastAsia="fr-FR"/>
              </w:rPr>
            </w:pPr>
            <w:r w:rsidRPr="004E15C4">
              <w:rPr>
                <w:rFonts w:cs="Calibri"/>
                <w:color w:val="000000"/>
              </w:rPr>
              <w:t>5,2</w:t>
            </w:r>
          </w:p>
        </w:tc>
        <w:tc>
          <w:tcPr>
            <w:tcW w:w="689" w:type="dxa"/>
            <w:tcBorders>
              <w:top w:val="nil"/>
              <w:left w:val="nil"/>
              <w:bottom w:val="single" w:sz="4" w:space="0" w:color="auto"/>
              <w:right w:val="single" w:sz="4" w:space="0" w:color="auto"/>
            </w:tcBorders>
            <w:shd w:val="clear" w:color="auto" w:fill="auto"/>
            <w:noWrap/>
            <w:hideMark/>
          </w:tcPr>
          <w:p w14:paraId="2727772F" w14:textId="40FD14B1" w:rsidR="00C63502" w:rsidRPr="00A71D39" w:rsidRDefault="00C63502" w:rsidP="00C63502">
            <w:pPr>
              <w:spacing w:after="0"/>
              <w:jc w:val="center"/>
              <w:rPr>
                <w:rFonts w:eastAsia="Times New Roman" w:cs="Calibri"/>
                <w:color w:val="000000"/>
                <w:lang w:eastAsia="fr-FR"/>
              </w:rPr>
            </w:pPr>
          </w:p>
        </w:tc>
        <w:tc>
          <w:tcPr>
            <w:tcW w:w="689" w:type="dxa"/>
            <w:tcBorders>
              <w:top w:val="nil"/>
              <w:left w:val="nil"/>
              <w:bottom w:val="single" w:sz="4" w:space="0" w:color="auto"/>
              <w:right w:val="single" w:sz="4" w:space="0" w:color="auto"/>
            </w:tcBorders>
            <w:shd w:val="clear" w:color="auto" w:fill="auto"/>
            <w:noWrap/>
            <w:hideMark/>
          </w:tcPr>
          <w:p w14:paraId="30140192" w14:textId="480F9441" w:rsidR="00C63502" w:rsidRPr="00A71D39" w:rsidRDefault="00C63502" w:rsidP="00C63502">
            <w:pPr>
              <w:spacing w:after="0"/>
              <w:jc w:val="center"/>
              <w:rPr>
                <w:rFonts w:eastAsia="Times New Roman" w:cs="Calibri"/>
                <w:color w:val="000000"/>
                <w:lang w:eastAsia="fr-FR"/>
              </w:rPr>
            </w:pPr>
          </w:p>
        </w:tc>
      </w:tr>
      <w:tr w:rsidR="00C63502" w:rsidRPr="00A71D39" w14:paraId="0D20FD9A" w14:textId="77777777" w:rsidTr="004E15C4">
        <w:trPr>
          <w:trHeight w:val="300"/>
        </w:trPr>
        <w:tc>
          <w:tcPr>
            <w:tcW w:w="2835" w:type="dxa"/>
            <w:tcBorders>
              <w:top w:val="nil"/>
              <w:left w:val="single" w:sz="4" w:space="0" w:color="auto"/>
              <w:bottom w:val="single" w:sz="4" w:space="0" w:color="auto"/>
              <w:right w:val="nil"/>
            </w:tcBorders>
            <w:shd w:val="clear" w:color="auto" w:fill="auto"/>
            <w:noWrap/>
            <w:hideMark/>
          </w:tcPr>
          <w:p w14:paraId="5D61D7E1"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Indice des prix à la consommation - Général</w:t>
            </w:r>
          </w:p>
        </w:tc>
        <w:tc>
          <w:tcPr>
            <w:tcW w:w="1560" w:type="dxa"/>
            <w:tcBorders>
              <w:top w:val="nil"/>
              <w:left w:val="single" w:sz="4" w:space="0" w:color="auto"/>
              <w:bottom w:val="single" w:sz="4" w:space="0" w:color="auto"/>
              <w:right w:val="single" w:sz="4" w:space="0" w:color="auto"/>
            </w:tcBorders>
            <w:shd w:val="clear" w:color="auto" w:fill="auto"/>
            <w:noWrap/>
            <w:hideMark/>
          </w:tcPr>
          <w:p w14:paraId="0DA3C90E"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001768676</w:t>
            </w:r>
          </w:p>
        </w:tc>
        <w:tc>
          <w:tcPr>
            <w:tcW w:w="1134" w:type="dxa"/>
            <w:tcBorders>
              <w:top w:val="nil"/>
              <w:left w:val="nil"/>
              <w:bottom w:val="single" w:sz="4" w:space="0" w:color="auto"/>
              <w:right w:val="single" w:sz="4" w:space="0" w:color="auto"/>
            </w:tcBorders>
            <w:shd w:val="clear" w:color="auto" w:fill="auto"/>
            <w:noWrap/>
            <w:hideMark/>
          </w:tcPr>
          <w:p w14:paraId="5F64CA4B" w14:textId="77777777" w:rsidR="00C63502" w:rsidRPr="00A71D39" w:rsidRDefault="008F025D" w:rsidP="00C63502">
            <w:pPr>
              <w:spacing w:after="0"/>
              <w:jc w:val="left"/>
              <w:rPr>
                <w:rFonts w:eastAsia="Times New Roman" w:cs="Calibri"/>
                <w:color w:val="0563C1"/>
                <w:u w:val="single"/>
                <w:lang w:eastAsia="fr-FR"/>
              </w:rPr>
            </w:pPr>
            <w:hyperlink r:id="rId14" w:history="1">
              <w:r w:rsidR="00C63502" w:rsidRPr="00A71D39">
                <w:rPr>
                  <w:rFonts w:eastAsia="Times New Roman" w:cs="Calibri"/>
                  <w:color w:val="0563C1"/>
                  <w:u w:val="single"/>
                  <w:lang w:eastAsia="fr-FR"/>
                </w:rPr>
                <w:t>Insee</w:t>
              </w:r>
            </w:hyperlink>
          </w:p>
        </w:tc>
        <w:tc>
          <w:tcPr>
            <w:tcW w:w="688" w:type="dxa"/>
            <w:tcBorders>
              <w:top w:val="nil"/>
              <w:left w:val="nil"/>
              <w:bottom w:val="single" w:sz="4" w:space="0" w:color="auto"/>
              <w:right w:val="single" w:sz="4" w:space="0" w:color="auto"/>
            </w:tcBorders>
            <w:shd w:val="clear" w:color="auto" w:fill="D9E1F2"/>
            <w:noWrap/>
            <w:hideMark/>
          </w:tcPr>
          <w:p w14:paraId="38B17F88" w14:textId="2D91AADC" w:rsidR="00C63502" w:rsidRPr="00A71D39" w:rsidRDefault="00C63502" w:rsidP="00C63502">
            <w:pPr>
              <w:spacing w:after="0"/>
              <w:jc w:val="center"/>
              <w:rPr>
                <w:rFonts w:eastAsia="Times New Roman" w:cs="Calibri"/>
                <w:lang w:eastAsia="fr-FR"/>
              </w:rPr>
            </w:pPr>
            <w:r w:rsidRPr="004E15C4">
              <w:rPr>
                <w:rFonts w:cs="Calibri"/>
              </w:rPr>
              <w:t>1,8</w:t>
            </w:r>
          </w:p>
        </w:tc>
        <w:tc>
          <w:tcPr>
            <w:tcW w:w="689" w:type="dxa"/>
            <w:tcBorders>
              <w:top w:val="nil"/>
              <w:left w:val="nil"/>
              <w:bottom w:val="single" w:sz="4" w:space="0" w:color="auto"/>
              <w:right w:val="single" w:sz="4" w:space="0" w:color="auto"/>
            </w:tcBorders>
            <w:shd w:val="clear" w:color="auto" w:fill="D9E1F2"/>
            <w:noWrap/>
            <w:hideMark/>
          </w:tcPr>
          <w:p w14:paraId="0C76478C" w14:textId="6BA7C032" w:rsidR="00C63502" w:rsidRPr="00A71D39" w:rsidRDefault="00C63502" w:rsidP="00C63502">
            <w:pPr>
              <w:spacing w:after="0"/>
              <w:jc w:val="center"/>
              <w:rPr>
                <w:rFonts w:eastAsia="Times New Roman" w:cs="Calibri"/>
                <w:lang w:eastAsia="fr-FR"/>
              </w:rPr>
            </w:pPr>
            <w:r w:rsidRPr="004E15C4">
              <w:rPr>
                <w:rFonts w:cs="Calibri"/>
              </w:rPr>
              <w:t>1,1</w:t>
            </w:r>
          </w:p>
        </w:tc>
        <w:tc>
          <w:tcPr>
            <w:tcW w:w="688" w:type="dxa"/>
            <w:tcBorders>
              <w:top w:val="nil"/>
              <w:left w:val="nil"/>
              <w:bottom w:val="single" w:sz="4" w:space="0" w:color="auto"/>
              <w:right w:val="single" w:sz="4" w:space="0" w:color="auto"/>
            </w:tcBorders>
            <w:shd w:val="clear" w:color="auto" w:fill="D9E1F2"/>
            <w:noWrap/>
            <w:hideMark/>
          </w:tcPr>
          <w:p w14:paraId="30A36FBF" w14:textId="1A605D36" w:rsidR="00C63502" w:rsidRPr="00A71D39" w:rsidRDefault="00C63502" w:rsidP="00C63502">
            <w:pPr>
              <w:spacing w:after="0"/>
              <w:jc w:val="center"/>
              <w:rPr>
                <w:rFonts w:eastAsia="Times New Roman" w:cs="Calibri"/>
                <w:lang w:eastAsia="fr-FR"/>
              </w:rPr>
            </w:pPr>
            <w:r w:rsidRPr="004E15C4">
              <w:rPr>
                <w:rFonts w:cs="Calibri"/>
              </w:rPr>
              <w:t>0,5</w:t>
            </w:r>
          </w:p>
        </w:tc>
        <w:tc>
          <w:tcPr>
            <w:tcW w:w="689" w:type="dxa"/>
            <w:tcBorders>
              <w:top w:val="nil"/>
              <w:left w:val="nil"/>
              <w:bottom w:val="single" w:sz="4" w:space="0" w:color="auto"/>
              <w:right w:val="single" w:sz="4" w:space="0" w:color="auto"/>
            </w:tcBorders>
            <w:shd w:val="clear" w:color="auto" w:fill="D9E1F2"/>
            <w:noWrap/>
            <w:hideMark/>
          </w:tcPr>
          <w:p w14:paraId="0902BA79" w14:textId="49819B4E" w:rsidR="00C63502" w:rsidRPr="00A71D39" w:rsidRDefault="00C63502" w:rsidP="00C63502">
            <w:pPr>
              <w:spacing w:after="0"/>
              <w:jc w:val="center"/>
              <w:rPr>
                <w:rFonts w:eastAsia="Times New Roman" w:cs="Calibri"/>
                <w:lang w:eastAsia="fr-FR"/>
              </w:rPr>
            </w:pPr>
            <w:r w:rsidRPr="004E15C4">
              <w:rPr>
                <w:rFonts w:cs="Calibri"/>
              </w:rPr>
              <w:t>1,6</w:t>
            </w:r>
          </w:p>
        </w:tc>
        <w:tc>
          <w:tcPr>
            <w:tcW w:w="688" w:type="dxa"/>
            <w:tcBorders>
              <w:top w:val="nil"/>
              <w:left w:val="nil"/>
              <w:bottom w:val="single" w:sz="4" w:space="0" w:color="auto"/>
              <w:right w:val="single" w:sz="4" w:space="0" w:color="auto"/>
            </w:tcBorders>
            <w:shd w:val="clear" w:color="auto" w:fill="D9E1F2"/>
            <w:noWrap/>
            <w:hideMark/>
          </w:tcPr>
          <w:p w14:paraId="48B85D64" w14:textId="25E18009" w:rsidR="00C63502" w:rsidRPr="00A71D39" w:rsidRDefault="00C63502" w:rsidP="00C63502">
            <w:pPr>
              <w:spacing w:after="0"/>
              <w:jc w:val="center"/>
              <w:rPr>
                <w:rFonts w:eastAsia="Times New Roman" w:cs="Calibri"/>
                <w:lang w:eastAsia="fr-FR"/>
              </w:rPr>
            </w:pPr>
            <w:r w:rsidRPr="004E15C4">
              <w:rPr>
                <w:rFonts w:cs="Calibri"/>
              </w:rPr>
              <w:t>5,2</w:t>
            </w:r>
          </w:p>
        </w:tc>
        <w:tc>
          <w:tcPr>
            <w:tcW w:w="689" w:type="dxa"/>
            <w:tcBorders>
              <w:top w:val="nil"/>
              <w:left w:val="nil"/>
              <w:bottom w:val="single" w:sz="4" w:space="0" w:color="auto"/>
              <w:right w:val="single" w:sz="4" w:space="0" w:color="auto"/>
            </w:tcBorders>
            <w:shd w:val="clear" w:color="auto" w:fill="D9E1F2"/>
            <w:noWrap/>
            <w:hideMark/>
          </w:tcPr>
          <w:p w14:paraId="63E3B053" w14:textId="40203B78" w:rsidR="00C63502" w:rsidRPr="00A71D39" w:rsidRDefault="00C63502" w:rsidP="00C63502">
            <w:pPr>
              <w:spacing w:after="0"/>
              <w:jc w:val="center"/>
              <w:rPr>
                <w:rFonts w:eastAsia="Times New Roman" w:cs="Calibri"/>
                <w:lang w:eastAsia="fr-FR"/>
              </w:rPr>
            </w:pPr>
            <w:r w:rsidRPr="004E15C4">
              <w:rPr>
                <w:rFonts w:cs="Calibri"/>
              </w:rPr>
              <w:t>4,9</w:t>
            </w:r>
          </w:p>
        </w:tc>
        <w:tc>
          <w:tcPr>
            <w:tcW w:w="689" w:type="dxa"/>
            <w:tcBorders>
              <w:top w:val="nil"/>
              <w:left w:val="nil"/>
              <w:bottom w:val="single" w:sz="4" w:space="0" w:color="auto"/>
              <w:right w:val="single" w:sz="4" w:space="0" w:color="auto"/>
            </w:tcBorders>
            <w:shd w:val="clear" w:color="auto" w:fill="auto"/>
            <w:noWrap/>
            <w:hideMark/>
          </w:tcPr>
          <w:p w14:paraId="30F048AE" w14:textId="18B7662B" w:rsidR="00C63502" w:rsidRPr="00A71D39" w:rsidRDefault="00C63502" w:rsidP="00C63502">
            <w:pPr>
              <w:spacing w:after="0"/>
              <w:jc w:val="center"/>
              <w:rPr>
                <w:rFonts w:eastAsia="Times New Roman" w:cs="Calibri"/>
                <w:lang w:eastAsia="fr-FR"/>
              </w:rPr>
            </w:pPr>
          </w:p>
        </w:tc>
      </w:tr>
      <w:tr w:rsidR="00C63502" w:rsidRPr="00A71D39" w14:paraId="455205DF" w14:textId="77777777" w:rsidTr="004E15C4">
        <w:trPr>
          <w:trHeight w:val="300"/>
        </w:trPr>
        <w:tc>
          <w:tcPr>
            <w:tcW w:w="2835" w:type="dxa"/>
            <w:tcBorders>
              <w:top w:val="nil"/>
              <w:left w:val="single" w:sz="4" w:space="0" w:color="auto"/>
              <w:bottom w:val="single" w:sz="4" w:space="0" w:color="auto"/>
              <w:right w:val="nil"/>
            </w:tcBorders>
            <w:shd w:val="clear" w:color="auto" w:fill="auto"/>
            <w:noWrap/>
            <w:hideMark/>
          </w:tcPr>
          <w:p w14:paraId="45ADADE0"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Projection d'inflation générale</w:t>
            </w:r>
          </w:p>
        </w:tc>
        <w:tc>
          <w:tcPr>
            <w:tcW w:w="1560" w:type="dxa"/>
            <w:tcBorders>
              <w:top w:val="nil"/>
              <w:left w:val="single" w:sz="4" w:space="0" w:color="auto"/>
              <w:bottom w:val="single" w:sz="4" w:space="0" w:color="auto"/>
              <w:right w:val="single" w:sz="4" w:space="0" w:color="auto"/>
            </w:tcBorders>
            <w:shd w:val="clear" w:color="auto" w:fill="auto"/>
            <w:noWrap/>
            <w:hideMark/>
          </w:tcPr>
          <w:p w14:paraId="32F4354E"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hideMark/>
          </w:tcPr>
          <w:p w14:paraId="5DADBD63" w14:textId="77777777" w:rsidR="00C63502" w:rsidRPr="00A71D39" w:rsidRDefault="008F025D" w:rsidP="00C63502">
            <w:pPr>
              <w:spacing w:after="0"/>
              <w:jc w:val="left"/>
              <w:rPr>
                <w:rFonts w:eastAsia="Times New Roman" w:cs="Calibri"/>
                <w:color w:val="0563C1"/>
                <w:u w:val="single"/>
                <w:lang w:eastAsia="fr-FR"/>
              </w:rPr>
            </w:pPr>
            <w:hyperlink r:id="rId15" w:anchor=":~:text=Ainsi%2C%20au%20quatri%C3%A8me%20trimestre%202024,l'inflation%20sous%2Djacente." w:history="1">
              <w:r w:rsidR="00C63502" w:rsidRPr="00A71D39">
                <w:rPr>
                  <w:rFonts w:eastAsia="Times New Roman" w:cs="Calibri"/>
                  <w:color w:val="0563C1"/>
                  <w:u w:val="single"/>
                  <w:lang w:eastAsia="fr-FR"/>
                </w:rPr>
                <w:t>Banque de France</w:t>
              </w:r>
            </w:hyperlink>
          </w:p>
        </w:tc>
        <w:tc>
          <w:tcPr>
            <w:tcW w:w="688" w:type="dxa"/>
            <w:tcBorders>
              <w:top w:val="nil"/>
              <w:left w:val="nil"/>
              <w:bottom w:val="single" w:sz="4" w:space="0" w:color="auto"/>
              <w:right w:val="single" w:sz="4" w:space="0" w:color="auto"/>
            </w:tcBorders>
            <w:shd w:val="clear" w:color="auto" w:fill="auto"/>
            <w:noWrap/>
            <w:hideMark/>
          </w:tcPr>
          <w:p w14:paraId="6D4766D0" w14:textId="4ED75051" w:rsidR="00C63502" w:rsidRPr="00A71D39" w:rsidRDefault="00C63502" w:rsidP="00C63502">
            <w:pPr>
              <w:spacing w:after="0"/>
              <w:jc w:val="center"/>
              <w:rPr>
                <w:rFonts w:eastAsia="Times New Roman" w:cs="Calibri"/>
                <w:lang w:eastAsia="fr-FR"/>
              </w:rPr>
            </w:pPr>
          </w:p>
        </w:tc>
        <w:tc>
          <w:tcPr>
            <w:tcW w:w="689" w:type="dxa"/>
            <w:tcBorders>
              <w:top w:val="nil"/>
              <w:left w:val="nil"/>
              <w:bottom w:val="single" w:sz="4" w:space="0" w:color="auto"/>
              <w:right w:val="single" w:sz="4" w:space="0" w:color="auto"/>
            </w:tcBorders>
            <w:shd w:val="clear" w:color="auto" w:fill="auto"/>
            <w:noWrap/>
            <w:hideMark/>
          </w:tcPr>
          <w:p w14:paraId="67403052" w14:textId="35312551" w:rsidR="00C63502" w:rsidRPr="00A71D39" w:rsidRDefault="00C63502" w:rsidP="00C63502">
            <w:pPr>
              <w:spacing w:after="0"/>
              <w:jc w:val="center"/>
              <w:rPr>
                <w:rFonts w:eastAsia="Times New Roman" w:cs="Calibri"/>
                <w:lang w:eastAsia="fr-FR"/>
              </w:rPr>
            </w:pPr>
          </w:p>
        </w:tc>
        <w:tc>
          <w:tcPr>
            <w:tcW w:w="688" w:type="dxa"/>
            <w:tcBorders>
              <w:top w:val="nil"/>
              <w:left w:val="nil"/>
              <w:bottom w:val="single" w:sz="4" w:space="0" w:color="auto"/>
              <w:right w:val="single" w:sz="4" w:space="0" w:color="auto"/>
            </w:tcBorders>
            <w:shd w:val="clear" w:color="auto" w:fill="auto"/>
            <w:noWrap/>
            <w:hideMark/>
          </w:tcPr>
          <w:p w14:paraId="248AB63F" w14:textId="397171DD" w:rsidR="00C63502" w:rsidRPr="00A71D39" w:rsidRDefault="00C63502" w:rsidP="00C63502">
            <w:pPr>
              <w:spacing w:after="0"/>
              <w:jc w:val="center"/>
              <w:rPr>
                <w:rFonts w:eastAsia="Times New Roman" w:cs="Calibri"/>
                <w:lang w:eastAsia="fr-FR"/>
              </w:rPr>
            </w:pPr>
          </w:p>
        </w:tc>
        <w:tc>
          <w:tcPr>
            <w:tcW w:w="689" w:type="dxa"/>
            <w:tcBorders>
              <w:top w:val="nil"/>
              <w:left w:val="nil"/>
              <w:bottom w:val="single" w:sz="4" w:space="0" w:color="auto"/>
              <w:right w:val="single" w:sz="4" w:space="0" w:color="auto"/>
            </w:tcBorders>
            <w:shd w:val="clear" w:color="auto" w:fill="auto"/>
            <w:noWrap/>
            <w:hideMark/>
          </w:tcPr>
          <w:p w14:paraId="787E5D69" w14:textId="5029F22B" w:rsidR="00C63502" w:rsidRPr="00A71D39" w:rsidRDefault="00C63502" w:rsidP="00C63502">
            <w:pPr>
              <w:spacing w:after="0"/>
              <w:jc w:val="center"/>
              <w:rPr>
                <w:rFonts w:eastAsia="Times New Roman" w:cs="Calibri"/>
                <w:lang w:eastAsia="fr-FR"/>
              </w:rPr>
            </w:pPr>
          </w:p>
        </w:tc>
        <w:tc>
          <w:tcPr>
            <w:tcW w:w="688" w:type="dxa"/>
            <w:tcBorders>
              <w:top w:val="nil"/>
              <w:left w:val="nil"/>
              <w:bottom w:val="single" w:sz="4" w:space="0" w:color="auto"/>
              <w:right w:val="single" w:sz="4" w:space="0" w:color="auto"/>
            </w:tcBorders>
            <w:shd w:val="clear" w:color="auto" w:fill="auto"/>
            <w:noWrap/>
            <w:hideMark/>
          </w:tcPr>
          <w:p w14:paraId="22D26CC6" w14:textId="743C2F03" w:rsidR="00C63502" w:rsidRPr="00A71D39" w:rsidRDefault="00C63502" w:rsidP="00C63502">
            <w:pPr>
              <w:spacing w:after="0"/>
              <w:jc w:val="center"/>
              <w:rPr>
                <w:rFonts w:eastAsia="Times New Roman" w:cs="Calibri"/>
                <w:lang w:eastAsia="fr-FR"/>
              </w:rPr>
            </w:pPr>
          </w:p>
        </w:tc>
        <w:tc>
          <w:tcPr>
            <w:tcW w:w="689" w:type="dxa"/>
            <w:tcBorders>
              <w:top w:val="nil"/>
              <w:left w:val="nil"/>
              <w:bottom w:val="single" w:sz="4" w:space="0" w:color="auto"/>
              <w:right w:val="single" w:sz="4" w:space="0" w:color="auto"/>
            </w:tcBorders>
            <w:shd w:val="clear" w:color="auto" w:fill="auto"/>
            <w:noWrap/>
            <w:hideMark/>
          </w:tcPr>
          <w:p w14:paraId="7DA3A37F" w14:textId="43E48CA9" w:rsidR="00C63502" w:rsidRPr="00A71D39" w:rsidRDefault="00C63502" w:rsidP="00C63502">
            <w:pPr>
              <w:spacing w:after="0"/>
              <w:jc w:val="center"/>
              <w:rPr>
                <w:rFonts w:eastAsia="Times New Roman" w:cs="Calibri"/>
                <w:lang w:eastAsia="fr-FR"/>
              </w:rPr>
            </w:pPr>
          </w:p>
        </w:tc>
        <w:tc>
          <w:tcPr>
            <w:tcW w:w="689" w:type="dxa"/>
            <w:tcBorders>
              <w:top w:val="nil"/>
              <w:left w:val="nil"/>
              <w:bottom w:val="single" w:sz="4" w:space="0" w:color="auto"/>
              <w:right w:val="single" w:sz="4" w:space="0" w:color="auto"/>
            </w:tcBorders>
            <w:shd w:val="clear" w:color="000000" w:fill="D9E1F2"/>
            <w:noWrap/>
            <w:hideMark/>
          </w:tcPr>
          <w:p w14:paraId="09C4287D" w14:textId="20BD8380" w:rsidR="00C63502" w:rsidRPr="00A71D39" w:rsidRDefault="00C63502" w:rsidP="00C63502">
            <w:pPr>
              <w:spacing w:after="0"/>
              <w:jc w:val="center"/>
              <w:rPr>
                <w:rFonts w:eastAsia="Times New Roman" w:cs="Calibri"/>
                <w:color w:val="000000"/>
                <w:lang w:eastAsia="fr-FR"/>
              </w:rPr>
            </w:pPr>
            <w:r w:rsidRPr="004E15C4">
              <w:rPr>
                <w:rFonts w:cs="Calibri"/>
                <w:color w:val="000000"/>
              </w:rPr>
              <w:t>2,55</w:t>
            </w:r>
          </w:p>
        </w:tc>
      </w:tr>
      <w:tr w:rsidR="004E15C4" w:rsidRPr="00A71D39" w14:paraId="03EADB52" w14:textId="77777777" w:rsidTr="004E15C4">
        <w:trPr>
          <w:trHeight w:val="300"/>
        </w:trPr>
        <w:tc>
          <w:tcPr>
            <w:tcW w:w="2835" w:type="dxa"/>
            <w:tcBorders>
              <w:top w:val="nil"/>
              <w:left w:val="single" w:sz="4" w:space="0" w:color="auto"/>
              <w:bottom w:val="single" w:sz="4" w:space="0" w:color="auto"/>
              <w:right w:val="nil"/>
            </w:tcBorders>
            <w:shd w:val="clear" w:color="auto" w:fill="auto"/>
            <w:noWrap/>
            <w:hideMark/>
          </w:tcPr>
          <w:p w14:paraId="76B81A45"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Indice des prix à la consommation - Alimentation</w:t>
            </w:r>
          </w:p>
        </w:tc>
        <w:tc>
          <w:tcPr>
            <w:tcW w:w="1560" w:type="dxa"/>
            <w:tcBorders>
              <w:top w:val="nil"/>
              <w:left w:val="single" w:sz="4" w:space="0" w:color="auto"/>
              <w:bottom w:val="single" w:sz="4" w:space="0" w:color="auto"/>
              <w:right w:val="single" w:sz="4" w:space="0" w:color="auto"/>
            </w:tcBorders>
            <w:shd w:val="clear" w:color="auto" w:fill="auto"/>
            <w:noWrap/>
            <w:hideMark/>
          </w:tcPr>
          <w:p w14:paraId="0FD4B63D" w14:textId="77777777" w:rsidR="00C63502" w:rsidRPr="00A71D39" w:rsidRDefault="00C63502" w:rsidP="00C63502">
            <w:pPr>
              <w:spacing w:after="0"/>
              <w:jc w:val="left"/>
              <w:rPr>
                <w:rFonts w:eastAsia="Times New Roman" w:cs="Calibri"/>
                <w:color w:val="000000"/>
                <w:lang w:eastAsia="fr-FR"/>
              </w:rPr>
            </w:pPr>
            <w:r w:rsidRPr="00A71D39">
              <w:rPr>
                <w:rFonts w:eastAsia="Times New Roman" w:cs="Calibri"/>
                <w:color w:val="000000"/>
                <w:lang w:eastAsia="fr-FR"/>
              </w:rPr>
              <w:t>001768678</w:t>
            </w:r>
          </w:p>
        </w:tc>
        <w:tc>
          <w:tcPr>
            <w:tcW w:w="1134" w:type="dxa"/>
            <w:tcBorders>
              <w:top w:val="nil"/>
              <w:left w:val="nil"/>
              <w:bottom w:val="single" w:sz="4" w:space="0" w:color="auto"/>
              <w:right w:val="single" w:sz="4" w:space="0" w:color="auto"/>
            </w:tcBorders>
            <w:shd w:val="clear" w:color="auto" w:fill="auto"/>
            <w:noWrap/>
            <w:hideMark/>
          </w:tcPr>
          <w:p w14:paraId="6E600EA9" w14:textId="77777777" w:rsidR="00C63502" w:rsidRPr="00A71D39" w:rsidRDefault="008F025D" w:rsidP="00C63502">
            <w:pPr>
              <w:spacing w:after="0"/>
              <w:jc w:val="left"/>
              <w:rPr>
                <w:rFonts w:eastAsia="Times New Roman" w:cs="Calibri"/>
                <w:color w:val="0563C1"/>
                <w:u w:val="single"/>
                <w:lang w:eastAsia="fr-FR"/>
              </w:rPr>
            </w:pPr>
            <w:hyperlink r:id="rId16" w:anchor="Tableau" w:history="1">
              <w:r w:rsidR="00C63502" w:rsidRPr="00A71D39">
                <w:rPr>
                  <w:rFonts w:eastAsia="Times New Roman" w:cs="Calibri"/>
                  <w:color w:val="0563C1"/>
                  <w:u w:val="single"/>
                  <w:lang w:eastAsia="fr-FR"/>
                </w:rPr>
                <w:t>Insee</w:t>
              </w:r>
            </w:hyperlink>
          </w:p>
        </w:tc>
        <w:tc>
          <w:tcPr>
            <w:tcW w:w="688" w:type="dxa"/>
            <w:tcBorders>
              <w:top w:val="nil"/>
              <w:left w:val="nil"/>
              <w:bottom w:val="single" w:sz="4" w:space="0" w:color="auto"/>
              <w:right w:val="single" w:sz="4" w:space="0" w:color="auto"/>
            </w:tcBorders>
            <w:shd w:val="clear" w:color="auto" w:fill="D9E1F2"/>
            <w:noWrap/>
            <w:hideMark/>
          </w:tcPr>
          <w:p w14:paraId="761F54B0" w14:textId="0FC0B431" w:rsidR="00C63502" w:rsidRPr="00A71D39" w:rsidRDefault="00C63502" w:rsidP="00C63502">
            <w:pPr>
              <w:spacing w:after="0"/>
              <w:jc w:val="center"/>
              <w:rPr>
                <w:rFonts w:eastAsia="Times New Roman" w:cs="Calibri"/>
                <w:lang w:eastAsia="fr-FR"/>
              </w:rPr>
            </w:pPr>
            <w:r w:rsidRPr="004E15C4">
              <w:rPr>
                <w:rFonts w:cs="Calibri"/>
              </w:rPr>
              <w:t>1,9</w:t>
            </w:r>
          </w:p>
        </w:tc>
        <w:tc>
          <w:tcPr>
            <w:tcW w:w="689" w:type="dxa"/>
            <w:tcBorders>
              <w:top w:val="nil"/>
              <w:left w:val="nil"/>
              <w:bottom w:val="single" w:sz="4" w:space="0" w:color="auto"/>
              <w:right w:val="single" w:sz="4" w:space="0" w:color="auto"/>
            </w:tcBorders>
            <w:shd w:val="clear" w:color="auto" w:fill="D9E1F2"/>
            <w:noWrap/>
            <w:hideMark/>
          </w:tcPr>
          <w:p w14:paraId="2B00E856" w14:textId="5CA56C45" w:rsidR="00C63502" w:rsidRPr="00A71D39" w:rsidRDefault="00C63502" w:rsidP="00C63502">
            <w:pPr>
              <w:spacing w:after="0"/>
              <w:jc w:val="center"/>
              <w:rPr>
                <w:rFonts w:eastAsia="Times New Roman" w:cs="Calibri"/>
                <w:lang w:eastAsia="fr-FR"/>
              </w:rPr>
            </w:pPr>
            <w:r w:rsidRPr="004E15C4">
              <w:rPr>
                <w:rFonts w:cs="Calibri"/>
              </w:rPr>
              <w:t>2,5</w:t>
            </w:r>
          </w:p>
        </w:tc>
        <w:tc>
          <w:tcPr>
            <w:tcW w:w="688" w:type="dxa"/>
            <w:tcBorders>
              <w:top w:val="nil"/>
              <w:left w:val="nil"/>
              <w:bottom w:val="single" w:sz="4" w:space="0" w:color="auto"/>
              <w:right w:val="single" w:sz="4" w:space="0" w:color="auto"/>
            </w:tcBorders>
            <w:shd w:val="clear" w:color="auto" w:fill="D9E1F2"/>
            <w:noWrap/>
            <w:hideMark/>
          </w:tcPr>
          <w:p w14:paraId="5CDE0395" w14:textId="59A12C30" w:rsidR="00C63502" w:rsidRPr="00A71D39" w:rsidRDefault="00C63502" w:rsidP="00C63502">
            <w:pPr>
              <w:spacing w:after="0"/>
              <w:jc w:val="center"/>
              <w:rPr>
                <w:rFonts w:eastAsia="Times New Roman" w:cs="Calibri"/>
                <w:lang w:eastAsia="fr-FR"/>
              </w:rPr>
            </w:pPr>
            <w:r w:rsidRPr="004E15C4">
              <w:rPr>
                <w:rFonts w:cs="Calibri"/>
              </w:rPr>
              <w:t>1,9</w:t>
            </w:r>
          </w:p>
        </w:tc>
        <w:tc>
          <w:tcPr>
            <w:tcW w:w="689" w:type="dxa"/>
            <w:tcBorders>
              <w:top w:val="nil"/>
              <w:left w:val="nil"/>
              <w:bottom w:val="single" w:sz="4" w:space="0" w:color="auto"/>
              <w:right w:val="single" w:sz="4" w:space="0" w:color="auto"/>
            </w:tcBorders>
            <w:shd w:val="clear" w:color="auto" w:fill="D9E1F2"/>
            <w:noWrap/>
            <w:hideMark/>
          </w:tcPr>
          <w:p w14:paraId="4C3C4AE3" w14:textId="1F9B1757" w:rsidR="00C63502" w:rsidRPr="00A71D39" w:rsidRDefault="00C63502" w:rsidP="00C63502">
            <w:pPr>
              <w:spacing w:after="0"/>
              <w:jc w:val="center"/>
              <w:rPr>
                <w:rFonts w:eastAsia="Times New Roman" w:cs="Calibri"/>
                <w:lang w:eastAsia="fr-FR"/>
              </w:rPr>
            </w:pPr>
            <w:r w:rsidRPr="004E15C4">
              <w:rPr>
                <w:rFonts w:cs="Calibri"/>
              </w:rPr>
              <w:t>0,6</w:t>
            </w:r>
          </w:p>
        </w:tc>
        <w:tc>
          <w:tcPr>
            <w:tcW w:w="688" w:type="dxa"/>
            <w:tcBorders>
              <w:top w:val="nil"/>
              <w:left w:val="nil"/>
              <w:bottom w:val="single" w:sz="4" w:space="0" w:color="auto"/>
              <w:right w:val="single" w:sz="4" w:space="0" w:color="auto"/>
            </w:tcBorders>
            <w:shd w:val="clear" w:color="auto" w:fill="D9E1F2"/>
            <w:noWrap/>
            <w:hideMark/>
          </w:tcPr>
          <w:p w14:paraId="4011C58D" w14:textId="43FA7877" w:rsidR="00C63502" w:rsidRPr="00A71D39" w:rsidRDefault="00C63502" w:rsidP="00C63502">
            <w:pPr>
              <w:spacing w:after="0"/>
              <w:jc w:val="center"/>
              <w:rPr>
                <w:rFonts w:eastAsia="Times New Roman" w:cs="Calibri"/>
                <w:lang w:eastAsia="fr-FR"/>
              </w:rPr>
            </w:pPr>
            <w:r w:rsidRPr="004E15C4">
              <w:rPr>
                <w:rFonts w:cs="Calibri"/>
              </w:rPr>
              <w:t>6,8</w:t>
            </w:r>
          </w:p>
        </w:tc>
        <w:tc>
          <w:tcPr>
            <w:tcW w:w="689" w:type="dxa"/>
            <w:tcBorders>
              <w:top w:val="nil"/>
              <w:left w:val="nil"/>
              <w:bottom w:val="single" w:sz="4" w:space="0" w:color="auto"/>
              <w:right w:val="single" w:sz="4" w:space="0" w:color="auto"/>
            </w:tcBorders>
            <w:shd w:val="clear" w:color="auto" w:fill="D9E1F2"/>
            <w:noWrap/>
            <w:hideMark/>
          </w:tcPr>
          <w:p w14:paraId="04D478F5" w14:textId="57F8F1FB" w:rsidR="00C63502" w:rsidRPr="00A71D39" w:rsidRDefault="00C63502" w:rsidP="00C63502">
            <w:pPr>
              <w:spacing w:after="0"/>
              <w:jc w:val="center"/>
              <w:rPr>
                <w:rFonts w:eastAsia="Times New Roman" w:cs="Calibri"/>
                <w:lang w:eastAsia="fr-FR"/>
              </w:rPr>
            </w:pPr>
            <w:r w:rsidRPr="004E15C4">
              <w:rPr>
                <w:rFonts w:cs="Calibri"/>
              </w:rPr>
              <w:t>11,8</w:t>
            </w:r>
          </w:p>
        </w:tc>
        <w:tc>
          <w:tcPr>
            <w:tcW w:w="689" w:type="dxa"/>
            <w:tcBorders>
              <w:top w:val="nil"/>
              <w:left w:val="nil"/>
              <w:bottom w:val="single" w:sz="4" w:space="0" w:color="auto"/>
              <w:right w:val="single" w:sz="4" w:space="0" w:color="auto"/>
            </w:tcBorders>
            <w:shd w:val="clear" w:color="auto" w:fill="FCE4D6"/>
            <w:noWrap/>
            <w:hideMark/>
          </w:tcPr>
          <w:p w14:paraId="66311476" w14:textId="29857CC7" w:rsidR="00C63502" w:rsidRPr="00A71D39" w:rsidRDefault="00C63502" w:rsidP="00C63502">
            <w:pPr>
              <w:spacing w:after="0"/>
              <w:jc w:val="center"/>
              <w:rPr>
                <w:rFonts w:eastAsia="Times New Roman" w:cs="Calibri"/>
                <w:lang w:eastAsia="fr-FR"/>
              </w:rPr>
            </w:pPr>
            <w:r w:rsidRPr="004E15C4">
              <w:rPr>
                <w:rFonts w:cs="Calibri"/>
              </w:rPr>
              <w:t>6,1</w:t>
            </w:r>
          </w:p>
        </w:tc>
      </w:tr>
      <w:tr w:rsidR="00C63502" w:rsidRPr="00A71D39" w14:paraId="01703962" w14:textId="77777777" w:rsidTr="004E15C4">
        <w:trPr>
          <w:trHeight w:val="238"/>
        </w:trPr>
        <w:tc>
          <w:tcPr>
            <w:tcW w:w="5529" w:type="dxa"/>
            <w:gridSpan w:val="3"/>
            <w:tcBorders>
              <w:top w:val="nil"/>
              <w:left w:val="single" w:sz="4" w:space="0" w:color="auto"/>
              <w:bottom w:val="single" w:sz="4" w:space="0" w:color="auto"/>
              <w:right w:val="single" w:sz="4" w:space="0" w:color="auto"/>
            </w:tcBorders>
            <w:shd w:val="clear" w:color="auto" w:fill="auto"/>
            <w:noWrap/>
            <w:hideMark/>
          </w:tcPr>
          <w:p w14:paraId="1200BAAE" w14:textId="593F6A23" w:rsidR="00C63502" w:rsidRPr="00A71D39" w:rsidRDefault="00C63502" w:rsidP="004E15C4">
            <w:pPr>
              <w:spacing w:after="0"/>
              <w:jc w:val="left"/>
              <w:rPr>
                <w:rFonts w:eastAsia="Times New Roman" w:cs="Calibri"/>
                <w:color w:val="000000"/>
                <w:lang w:eastAsia="fr-FR"/>
              </w:rPr>
            </w:pPr>
            <w:r w:rsidRPr="00A71D39">
              <w:rPr>
                <w:rFonts w:eastAsia="Times New Roman" w:cs="Calibri"/>
                <w:color w:val="000000"/>
                <w:lang w:eastAsia="fr-FR"/>
              </w:rPr>
              <w:t>Inflation générale retenue en %</w:t>
            </w:r>
          </w:p>
        </w:tc>
        <w:tc>
          <w:tcPr>
            <w:tcW w:w="688" w:type="dxa"/>
            <w:tcBorders>
              <w:top w:val="nil"/>
              <w:left w:val="nil"/>
              <w:bottom w:val="single" w:sz="4" w:space="0" w:color="auto"/>
              <w:right w:val="single" w:sz="4" w:space="0" w:color="auto"/>
            </w:tcBorders>
            <w:shd w:val="clear" w:color="auto" w:fill="FCE4D6"/>
            <w:noWrap/>
            <w:hideMark/>
          </w:tcPr>
          <w:p w14:paraId="41064E6C" w14:textId="78CE0985" w:rsidR="00C63502" w:rsidRPr="00A71D39" w:rsidRDefault="00C63502" w:rsidP="004E15C4">
            <w:pPr>
              <w:spacing w:after="0"/>
              <w:jc w:val="center"/>
              <w:rPr>
                <w:rFonts w:eastAsia="Times New Roman" w:cs="Calibri"/>
                <w:color w:val="000000"/>
                <w:lang w:eastAsia="fr-FR"/>
              </w:rPr>
            </w:pPr>
            <w:r w:rsidRPr="004E15C4">
              <w:rPr>
                <w:rFonts w:cs="Calibri"/>
                <w:color w:val="000000"/>
              </w:rPr>
              <w:t>1,8%</w:t>
            </w:r>
          </w:p>
        </w:tc>
        <w:tc>
          <w:tcPr>
            <w:tcW w:w="689" w:type="dxa"/>
            <w:tcBorders>
              <w:top w:val="nil"/>
              <w:left w:val="nil"/>
              <w:bottom w:val="single" w:sz="4" w:space="0" w:color="auto"/>
              <w:right w:val="single" w:sz="4" w:space="0" w:color="auto"/>
            </w:tcBorders>
            <w:shd w:val="clear" w:color="auto" w:fill="FCE4D6"/>
            <w:noWrap/>
            <w:hideMark/>
          </w:tcPr>
          <w:p w14:paraId="29FB5B54" w14:textId="0817441F" w:rsidR="00C63502" w:rsidRPr="00A71D39" w:rsidRDefault="00C63502" w:rsidP="004E15C4">
            <w:pPr>
              <w:spacing w:after="0"/>
              <w:jc w:val="center"/>
              <w:rPr>
                <w:rFonts w:eastAsia="Times New Roman" w:cs="Calibri"/>
                <w:color w:val="000000"/>
                <w:lang w:eastAsia="fr-FR"/>
              </w:rPr>
            </w:pPr>
            <w:r w:rsidRPr="004E15C4">
              <w:rPr>
                <w:rFonts w:cs="Calibri"/>
                <w:color w:val="000000"/>
              </w:rPr>
              <w:t>1,1%</w:t>
            </w:r>
          </w:p>
        </w:tc>
        <w:tc>
          <w:tcPr>
            <w:tcW w:w="688" w:type="dxa"/>
            <w:tcBorders>
              <w:top w:val="nil"/>
              <w:left w:val="nil"/>
              <w:bottom w:val="single" w:sz="4" w:space="0" w:color="auto"/>
              <w:right w:val="single" w:sz="4" w:space="0" w:color="auto"/>
            </w:tcBorders>
            <w:shd w:val="clear" w:color="auto" w:fill="FCE4D6"/>
            <w:noWrap/>
            <w:hideMark/>
          </w:tcPr>
          <w:p w14:paraId="2AEB740B" w14:textId="47A258F6" w:rsidR="00C63502" w:rsidRPr="00A71D39" w:rsidRDefault="00C63502" w:rsidP="004E15C4">
            <w:pPr>
              <w:spacing w:after="0"/>
              <w:jc w:val="center"/>
              <w:rPr>
                <w:rFonts w:eastAsia="Times New Roman" w:cs="Calibri"/>
                <w:color w:val="000000"/>
                <w:lang w:eastAsia="fr-FR"/>
              </w:rPr>
            </w:pPr>
            <w:r w:rsidRPr="004E15C4">
              <w:rPr>
                <w:rFonts w:cs="Calibri"/>
                <w:color w:val="000000"/>
              </w:rPr>
              <w:t>0,5%</w:t>
            </w:r>
          </w:p>
        </w:tc>
        <w:tc>
          <w:tcPr>
            <w:tcW w:w="689" w:type="dxa"/>
            <w:tcBorders>
              <w:top w:val="nil"/>
              <w:left w:val="nil"/>
              <w:bottom w:val="single" w:sz="4" w:space="0" w:color="auto"/>
              <w:right w:val="single" w:sz="4" w:space="0" w:color="auto"/>
            </w:tcBorders>
            <w:shd w:val="clear" w:color="auto" w:fill="FCE4D6"/>
            <w:noWrap/>
            <w:hideMark/>
          </w:tcPr>
          <w:p w14:paraId="25CF8B43" w14:textId="1DF9DEB9" w:rsidR="00C63502" w:rsidRPr="00A71D39" w:rsidRDefault="00C63502" w:rsidP="004E15C4">
            <w:pPr>
              <w:spacing w:after="0"/>
              <w:jc w:val="center"/>
              <w:rPr>
                <w:rFonts w:eastAsia="Times New Roman" w:cs="Calibri"/>
                <w:color w:val="000000"/>
                <w:lang w:eastAsia="fr-FR"/>
              </w:rPr>
            </w:pPr>
            <w:r w:rsidRPr="004E15C4">
              <w:rPr>
                <w:rFonts w:cs="Calibri"/>
                <w:color w:val="000000"/>
              </w:rPr>
              <w:t>1,6%</w:t>
            </w:r>
          </w:p>
        </w:tc>
        <w:tc>
          <w:tcPr>
            <w:tcW w:w="688" w:type="dxa"/>
            <w:tcBorders>
              <w:top w:val="nil"/>
              <w:left w:val="nil"/>
              <w:bottom w:val="single" w:sz="4" w:space="0" w:color="auto"/>
              <w:right w:val="single" w:sz="4" w:space="0" w:color="auto"/>
            </w:tcBorders>
            <w:shd w:val="clear" w:color="auto" w:fill="FCE4D6"/>
            <w:noWrap/>
            <w:hideMark/>
          </w:tcPr>
          <w:p w14:paraId="261E44D6" w14:textId="1EA2C1D9" w:rsidR="00C63502" w:rsidRPr="00A71D39" w:rsidRDefault="00C63502" w:rsidP="004E15C4">
            <w:pPr>
              <w:spacing w:after="0"/>
              <w:jc w:val="center"/>
              <w:rPr>
                <w:rFonts w:eastAsia="Times New Roman" w:cs="Calibri"/>
                <w:color w:val="000000"/>
                <w:lang w:eastAsia="fr-FR"/>
              </w:rPr>
            </w:pPr>
            <w:r w:rsidRPr="004E15C4">
              <w:rPr>
                <w:rFonts w:cs="Calibri"/>
                <w:color w:val="000000"/>
              </w:rPr>
              <w:t>5,2%</w:t>
            </w:r>
          </w:p>
        </w:tc>
        <w:tc>
          <w:tcPr>
            <w:tcW w:w="689" w:type="dxa"/>
            <w:tcBorders>
              <w:top w:val="nil"/>
              <w:left w:val="nil"/>
              <w:bottom w:val="single" w:sz="4" w:space="0" w:color="auto"/>
              <w:right w:val="single" w:sz="4" w:space="0" w:color="auto"/>
            </w:tcBorders>
            <w:shd w:val="clear" w:color="auto" w:fill="FCE4D6"/>
            <w:noWrap/>
            <w:hideMark/>
          </w:tcPr>
          <w:p w14:paraId="724381C2" w14:textId="6B244F6E" w:rsidR="00C63502" w:rsidRPr="00A71D39" w:rsidRDefault="00C63502" w:rsidP="004E15C4">
            <w:pPr>
              <w:spacing w:after="0"/>
              <w:jc w:val="center"/>
              <w:rPr>
                <w:rFonts w:eastAsia="Times New Roman" w:cs="Calibri"/>
                <w:color w:val="000000"/>
                <w:lang w:eastAsia="fr-FR"/>
              </w:rPr>
            </w:pPr>
            <w:r w:rsidRPr="004E15C4">
              <w:rPr>
                <w:rFonts w:cs="Calibri"/>
                <w:color w:val="000000"/>
              </w:rPr>
              <w:t>4,9%</w:t>
            </w:r>
          </w:p>
        </w:tc>
        <w:tc>
          <w:tcPr>
            <w:tcW w:w="689" w:type="dxa"/>
            <w:tcBorders>
              <w:top w:val="nil"/>
              <w:left w:val="nil"/>
              <w:bottom w:val="single" w:sz="4" w:space="0" w:color="auto"/>
              <w:right w:val="single" w:sz="4" w:space="0" w:color="auto"/>
            </w:tcBorders>
            <w:shd w:val="clear" w:color="auto" w:fill="FCE4D6"/>
            <w:noWrap/>
            <w:hideMark/>
          </w:tcPr>
          <w:p w14:paraId="22D5DC46" w14:textId="333CF90F" w:rsidR="00C63502" w:rsidRPr="00A71D39" w:rsidRDefault="00C63502" w:rsidP="004E15C4">
            <w:pPr>
              <w:spacing w:after="0"/>
              <w:jc w:val="center"/>
              <w:rPr>
                <w:rFonts w:eastAsia="Times New Roman" w:cs="Calibri"/>
                <w:color w:val="000000"/>
                <w:lang w:eastAsia="fr-FR"/>
              </w:rPr>
            </w:pPr>
            <w:r w:rsidRPr="004E15C4">
              <w:rPr>
                <w:rFonts w:cs="Calibri"/>
                <w:color w:val="000000"/>
              </w:rPr>
              <w:t>2,6%</w:t>
            </w:r>
          </w:p>
        </w:tc>
      </w:tr>
      <w:tr w:rsidR="00C63502" w:rsidRPr="00A71D39" w14:paraId="074CCEF5" w14:textId="77777777" w:rsidTr="004E15C4">
        <w:trPr>
          <w:trHeight w:val="105"/>
        </w:trPr>
        <w:tc>
          <w:tcPr>
            <w:tcW w:w="5529" w:type="dxa"/>
            <w:gridSpan w:val="3"/>
            <w:tcBorders>
              <w:top w:val="nil"/>
              <w:left w:val="single" w:sz="4" w:space="0" w:color="auto"/>
              <w:bottom w:val="single" w:sz="4" w:space="0" w:color="auto"/>
              <w:right w:val="single" w:sz="4" w:space="0" w:color="auto"/>
            </w:tcBorders>
            <w:shd w:val="clear" w:color="auto" w:fill="auto"/>
            <w:noWrap/>
            <w:hideMark/>
          </w:tcPr>
          <w:p w14:paraId="0C7224A6" w14:textId="29A83209" w:rsidR="00C63502" w:rsidRPr="00A71D39" w:rsidRDefault="00C63502" w:rsidP="004E15C4">
            <w:pPr>
              <w:spacing w:after="0"/>
              <w:jc w:val="left"/>
              <w:rPr>
                <w:rFonts w:eastAsia="Times New Roman" w:cs="Calibri"/>
                <w:color w:val="000000"/>
                <w:lang w:eastAsia="fr-FR"/>
              </w:rPr>
            </w:pPr>
            <w:r w:rsidRPr="00A71D39">
              <w:rPr>
                <w:rFonts w:eastAsia="Times New Roman" w:cs="Calibri"/>
                <w:color w:val="000000"/>
                <w:lang w:eastAsia="fr-FR"/>
              </w:rPr>
              <w:t>Inflation alimentaire retenue en %</w:t>
            </w:r>
          </w:p>
        </w:tc>
        <w:tc>
          <w:tcPr>
            <w:tcW w:w="688" w:type="dxa"/>
            <w:tcBorders>
              <w:top w:val="nil"/>
              <w:left w:val="nil"/>
              <w:bottom w:val="single" w:sz="4" w:space="0" w:color="auto"/>
              <w:right w:val="single" w:sz="4" w:space="0" w:color="auto"/>
            </w:tcBorders>
            <w:shd w:val="clear" w:color="auto" w:fill="FCE4D6"/>
            <w:noWrap/>
            <w:hideMark/>
          </w:tcPr>
          <w:p w14:paraId="11F4BC8A" w14:textId="313852FD" w:rsidR="00C63502" w:rsidRPr="00A71D39" w:rsidRDefault="00C63502" w:rsidP="004E15C4">
            <w:pPr>
              <w:spacing w:after="0"/>
              <w:jc w:val="center"/>
              <w:rPr>
                <w:rFonts w:eastAsia="Times New Roman" w:cs="Calibri"/>
                <w:color w:val="000000"/>
                <w:lang w:eastAsia="fr-FR"/>
              </w:rPr>
            </w:pPr>
            <w:r w:rsidRPr="004E15C4">
              <w:rPr>
                <w:rFonts w:cs="Calibri"/>
                <w:color w:val="000000"/>
              </w:rPr>
              <w:t>1,9%</w:t>
            </w:r>
          </w:p>
        </w:tc>
        <w:tc>
          <w:tcPr>
            <w:tcW w:w="689" w:type="dxa"/>
            <w:tcBorders>
              <w:top w:val="nil"/>
              <w:left w:val="nil"/>
              <w:bottom w:val="single" w:sz="4" w:space="0" w:color="auto"/>
              <w:right w:val="single" w:sz="4" w:space="0" w:color="auto"/>
            </w:tcBorders>
            <w:shd w:val="clear" w:color="auto" w:fill="FCE4D6"/>
            <w:noWrap/>
            <w:hideMark/>
          </w:tcPr>
          <w:p w14:paraId="74F1B180" w14:textId="6D155302" w:rsidR="00C63502" w:rsidRPr="00A71D39" w:rsidRDefault="00C63502" w:rsidP="004E15C4">
            <w:pPr>
              <w:spacing w:after="0"/>
              <w:jc w:val="center"/>
              <w:rPr>
                <w:rFonts w:eastAsia="Times New Roman" w:cs="Calibri"/>
                <w:color w:val="000000"/>
                <w:lang w:eastAsia="fr-FR"/>
              </w:rPr>
            </w:pPr>
            <w:r w:rsidRPr="004E15C4">
              <w:rPr>
                <w:rFonts w:cs="Calibri"/>
                <w:color w:val="000000"/>
              </w:rPr>
              <w:t>2,5%</w:t>
            </w:r>
          </w:p>
        </w:tc>
        <w:tc>
          <w:tcPr>
            <w:tcW w:w="688" w:type="dxa"/>
            <w:tcBorders>
              <w:top w:val="nil"/>
              <w:left w:val="nil"/>
              <w:bottom w:val="single" w:sz="4" w:space="0" w:color="auto"/>
              <w:right w:val="single" w:sz="4" w:space="0" w:color="auto"/>
            </w:tcBorders>
            <w:shd w:val="clear" w:color="auto" w:fill="FCE4D6"/>
            <w:noWrap/>
            <w:hideMark/>
          </w:tcPr>
          <w:p w14:paraId="7733849E" w14:textId="345BBC5F" w:rsidR="00C63502" w:rsidRPr="00A71D39" w:rsidRDefault="00C63502" w:rsidP="004E15C4">
            <w:pPr>
              <w:spacing w:after="0"/>
              <w:jc w:val="center"/>
              <w:rPr>
                <w:rFonts w:eastAsia="Times New Roman" w:cs="Calibri"/>
                <w:color w:val="000000"/>
                <w:lang w:eastAsia="fr-FR"/>
              </w:rPr>
            </w:pPr>
            <w:r w:rsidRPr="004E15C4">
              <w:rPr>
                <w:rFonts w:cs="Calibri"/>
                <w:color w:val="000000"/>
              </w:rPr>
              <w:t>1,9%</w:t>
            </w:r>
          </w:p>
        </w:tc>
        <w:tc>
          <w:tcPr>
            <w:tcW w:w="689" w:type="dxa"/>
            <w:tcBorders>
              <w:top w:val="nil"/>
              <w:left w:val="nil"/>
              <w:bottom w:val="single" w:sz="4" w:space="0" w:color="auto"/>
              <w:right w:val="single" w:sz="4" w:space="0" w:color="auto"/>
            </w:tcBorders>
            <w:shd w:val="clear" w:color="auto" w:fill="FCE4D6"/>
            <w:noWrap/>
            <w:hideMark/>
          </w:tcPr>
          <w:p w14:paraId="0E738AD3" w14:textId="11055F85" w:rsidR="00C63502" w:rsidRPr="00A71D39" w:rsidRDefault="00C63502" w:rsidP="004E15C4">
            <w:pPr>
              <w:spacing w:after="0"/>
              <w:jc w:val="center"/>
              <w:rPr>
                <w:rFonts w:eastAsia="Times New Roman" w:cs="Calibri"/>
                <w:color w:val="000000"/>
                <w:lang w:eastAsia="fr-FR"/>
              </w:rPr>
            </w:pPr>
            <w:r w:rsidRPr="004E15C4">
              <w:rPr>
                <w:rFonts w:cs="Calibri"/>
                <w:color w:val="000000"/>
              </w:rPr>
              <w:t>0,6%</w:t>
            </w:r>
          </w:p>
        </w:tc>
        <w:tc>
          <w:tcPr>
            <w:tcW w:w="688" w:type="dxa"/>
            <w:tcBorders>
              <w:top w:val="nil"/>
              <w:left w:val="nil"/>
              <w:bottom w:val="single" w:sz="4" w:space="0" w:color="auto"/>
              <w:right w:val="single" w:sz="4" w:space="0" w:color="auto"/>
            </w:tcBorders>
            <w:shd w:val="clear" w:color="auto" w:fill="FCE4D6"/>
            <w:noWrap/>
            <w:hideMark/>
          </w:tcPr>
          <w:p w14:paraId="01A18A03" w14:textId="04856311" w:rsidR="00C63502" w:rsidRPr="00A71D39" w:rsidRDefault="00C63502" w:rsidP="004E15C4">
            <w:pPr>
              <w:spacing w:after="0"/>
              <w:jc w:val="center"/>
              <w:rPr>
                <w:rFonts w:eastAsia="Times New Roman" w:cs="Calibri"/>
                <w:color w:val="000000"/>
                <w:lang w:eastAsia="fr-FR"/>
              </w:rPr>
            </w:pPr>
            <w:r w:rsidRPr="004E15C4">
              <w:rPr>
                <w:rFonts w:cs="Calibri"/>
                <w:color w:val="000000"/>
              </w:rPr>
              <w:t>6,8%</w:t>
            </w:r>
          </w:p>
        </w:tc>
        <w:tc>
          <w:tcPr>
            <w:tcW w:w="689" w:type="dxa"/>
            <w:tcBorders>
              <w:top w:val="nil"/>
              <w:left w:val="nil"/>
              <w:bottom w:val="single" w:sz="4" w:space="0" w:color="auto"/>
              <w:right w:val="single" w:sz="4" w:space="0" w:color="auto"/>
            </w:tcBorders>
            <w:shd w:val="clear" w:color="auto" w:fill="FCE4D6"/>
            <w:noWrap/>
            <w:hideMark/>
          </w:tcPr>
          <w:p w14:paraId="2D3841E6" w14:textId="173A5213" w:rsidR="00C63502" w:rsidRPr="00A71D39" w:rsidRDefault="00C63502" w:rsidP="004E15C4">
            <w:pPr>
              <w:spacing w:after="0"/>
              <w:jc w:val="center"/>
              <w:rPr>
                <w:rFonts w:eastAsia="Times New Roman" w:cs="Calibri"/>
                <w:color w:val="000000"/>
                <w:lang w:eastAsia="fr-FR"/>
              </w:rPr>
            </w:pPr>
            <w:r w:rsidRPr="004E15C4">
              <w:rPr>
                <w:rFonts w:cs="Calibri"/>
                <w:color w:val="000000"/>
              </w:rPr>
              <w:t>11,8%</w:t>
            </w:r>
          </w:p>
        </w:tc>
        <w:tc>
          <w:tcPr>
            <w:tcW w:w="689" w:type="dxa"/>
            <w:tcBorders>
              <w:top w:val="nil"/>
              <w:left w:val="nil"/>
              <w:bottom w:val="single" w:sz="4" w:space="0" w:color="auto"/>
              <w:right w:val="single" w:sz="4" w:space="0" w:color="auto"/>
            </w:tcBorders>
            <w:shd w:val="clear" w:color="auto" w:fill="FCE4D6"/>
            <w:noWrap/>
            <w:hideMark/>
          </w:tcPr>
          <w:p w14:paraId="6244DFDB" w14:textId="3A6A1B8E" w:rsidR="00C63502" w:rsidRPr="00A71D39" w:rsidRDefault="00C63502" w:rsidP="004E15C4">
            <w:pPr>
              <w:spacing w:after="0"/>
              <w:jc w:val="center"/>
              <w:rPr>
                <w:rFonts w:eastAsia="Times New Roman" w:cs="Calibri"/>
                <w:color w:val="000000"/>
                <w:lang w:eastAsia="fr-FR"/>
              </w:rPr>
            </w:pPr>
            <w:r w:rsidRPr="004E15C4">
              <w:rPr>
                <w:rFonts w:cs="Calibri"/>
                <w:color w:val="000000"/>
              </w:rPr>
              <w:t>6,1%</w:t>
            </w:r>
          </w:p>
        </w:tc>
      </w:tr>
    </w:tbl>
    <w:p w14:paraId="79B3F24D" w14:textId="7D24FBD4" w:rsidR="4A7895F1" w:rsidRDefault="00356C94" w:rsidP="7831461A">
      <w:r>
        <w:t xml:space="preserve">En bleu : </w:t>
      </w:r>
      <w:r w:rsidR="00AE1089">
        <w:t>données brutes. En orange : données calculées.</w:t>
      </w:r>
    </w:p>
    <w:p w14:paraId="657EFBED" w14:textId="129F3FF7" w:rsidR="003E67F1" w:rsidRDefault="74FDF222" w:rsidP="7831461A">
      <w:r>
        <w:t>Lorsque plusieurs années sont disponibles</w:t>
      </w:r>
      <w:r w:rsidR="00884077">
        <w:t xml:space="preserve">, </w:t>
      </w:r>
      <w:r w:rsidR="6A78760A">
        <w:t>nous appliquons souvent une moyenne ou réalisons une projection linéaire à partir des années précédentes</w:t>
      </w:r>
      <w:r w:rsidR="00884077">
        <w:t>.</w:t>
      </w:r>
    </w:p>
    <w:p w14:paraId="5D12BB4A" w14:textId="77777777" w:rsidR="000F65EB" w:rsidRDefault="00AB1F9B" w:rsidP="7831461A">
      <w:r>
        <w:t>Dans le cas de la restauration de collectivité :</w:t>
      </w:r>
      <w:r w:rsidR="000F65EB">
        <w:t xml:space="preserve"> </w:t>
      </w:r>
    </w:p>
    <w:p w14:paraId="2418FE43" w14:textId="4898A090" w:rsidR="000F65EB" w:rsidRDefault="000F65EB" w:rsidP="000F65EB">
      <w:pPr>
        <w:pStyle w:val="Paragraphedeliste"/>
        <w:numPr>
          <w:ilvl w:val="0"/>
          <w:numId w:val="42"/>
        </w:numPr>
      </w:pPr>
      <w:r>
        <w:t>L</w:t>
      </w:r>
      <w:r w:rsidRPr="000F65EB">
        <w:t>'inflation et du point d'indice des fonctionnaires</w:t>
      </w:r>
      <w:r>
        <w:t xml:space="preserve"> a été appliquée à la partie de la subvention correspondant aux frais de personnel ;</w:t>
      </w:r>
    </w:p>
    <w:p w14:paraId="0552A560" w14:textId="1B4C322D" w:rsidR="00AB1F9B" w:rsidRDefault="000F65EB" w:rsidP="7831461A">
      <w:pPr>
        <w:pStyle w:val="Paragraphedeliste"/>
        <w:numPr>
          <w:ilvl w:val="0"/>
          <w:numId w:val="42"/>
        </w:numPr>
      </w:pPr>
      <w:r>
        <w:t xml:space="preserve">L’inflation générale a été appliquée </w:t>
      </w:r>
      <w:r w:rsidR="00B83FA3">
        <w:t>au reste de la subvention.</w:t>
      </w:r>
    </w:p>
    <w:p w14:paraId="1418460C" w14:textId="6F1218B5" w:rsidR="5880F3F1" w:rsidRDefault="7575EF06" w:rsidP="001B6CA9">
      <w:pPr>
        <w:pStyle w:val="Titre2"/>
      </w:pPr>
      <w:bookmarkStart w:id="35" w:name="_Toc277054701"/>
      <w:bookmarkStart w:id="36" w:name="_Toc177052054"/>
      <w:r>
        <w:t>Le cas des données prévisionnelles non fournies</w:t>
      </w:r>
      <w:bookmarkEnd w:id="35"/>
      <w:bookmarkEnd w:id="36"/>
    </w:p>
    <w:p w14:paraId="7C9B3FAD" w14:textId="33256D53" w:rsidR="00090F48" w:rsidRDefault="7F0F86B7" w:rsidP="1D86C05E">
      <w:r>
        <w:t>Comme précisé dans la partie</w:t>
      </w:r>
      <w:r w:rsidR="000A5C09">
        <w:t xml:space="preserve"> </w:t>
      </w:r>
      <w:r w:rsidR="000A5C09">
        <w:fldChar w:fldCharType="begin"/>
      </w:r>
      <w:r w:rsidR="000A5C09">
        <w:instrText xml:space="preserve"> REF _Ref164951406 \r \h </w:instrText>
      </w:r>
      <w:r w:rsidR="000A5C09">
        <w:fldChar w:fldCharType="separate"/>
      </w:r>
      <w:r w:rsidR="000A5C09">
        <w:t>2.1</w:t>
      </w:r>
      <w:r w:rsidR="000A5C09">
        <w:fldChar w:fldCharType="end"/>
      </w:r>
      <w:r>
        <w:t xml:space="preserve">, nous collectons à la fois les dépenses publiques exécutées et les dépenses prévisionnelles. </w:t>
      </w:r>
      <w:r w:rsidR="0019040C">
        <w:t>Lorsque c’est possible</w:t>
      </w:r>
      <w:r w:rsidR="00281B00">
        <w:t>, nous collectons la donnée exécutée et prévisionnelle pour chaque année.</w:t>
      </w:r>
      <w:r w:rsidR="00212425">
        <w:t xml:space="preserve"> C’est le cas pour les </w:t>
      </w:r>
      <w:r w:rsidR="00A20362">
        <w:t>exonérations sociales et fiscales, ainsi que pour le budget de l’</w:t>
      </w:r>
      <w:r w:rsidR="00594801">
        <w:t>État</w:t>
      </w:r>
    </w:p>
    <w:p w14:paraId="044F13AA" w14:textId="104CAF54" w:rsidR="0019040C" w:rsidRDefault="00090F48" w:rsidP="1D86C05E">
      <w:r>
        <w:lastRenderedPageBreak/>
        <w:t>A</w:t>
      </w:r>
      <w:r w:rsidR="00D12E83">
        <w:t xml:space="preserve"> noter qu’a</w:t>
      </w:r>
      <w:r>
        <w:t>u</w:t>
      </w:r>
      <w:r w:rsidR="00AA4762">
        <w:t xml:space="preserve"> moment de la collecte, fin 2023 début 2024, les dépenses exécutées </w:t>
      </w:r>
      <w:r w:rsidR="001B5574">
        <w:t>pour 2023 et 2024 ne sont pas encore disponibles</w:t>
      </w:r>
      <w:r w:rsidR="00105D20">
        <w:t xml:space="preserve"> (pour aucune des enveloppes).</w:t>
      </w:r>
    </w:p>
    <w:p w14:paraId="72A8D22F" w14:textId="4B2AF831" w:rsidR="1D86C05E" w:rsidRDefault="00AB2A22" w:rsidP="1D86C05E">
      <w:r>
        <w:t>P</w:t>
      </w:r>
      <w:r w:rsidR="53B485BD">
        <w:t>our plusieurs sources de données (</w:t>
      </w:r>
      <w:r w:rsidR="7B2F4A0A">
        <w:t>les fonds européens hors PAC, les aides des Agences de l’eau, et les soutiens des collectivités territoriales à la restauration collective publique</w:t>
      </w:r>
      <w:r w:rsidR="7F0F86B7">
        <w:t>)</w:t>
      </w:r>
      <w:r w:rsidR="5F7EFF50">
        <w:t>, seule la dépense exécutée est fournie</w:t>
      </w:r>
      <w:r w:rsidR="00EE450B">
        <w:t>, hormis 2023 et 2024.</w:t>
      </w:r>
      <w:r w:rsidR="00791089">
        <w:t xml:space="preserve"> Pour </w:t>
      </w:r>
      <w:r w:rsidR="00107EB3">
        <w:t xml:space="preserve">les deux dernières années de </w:t>
      </w:r>
      <w:r w:rsidR="00791089">
        <w:t xml:space="preserve">ces enveloppes, nous </w:t>
      </w:r>
      <w:r w:rsidR="00A32C90">
        <w:t>devons approximer une donnée prévisionnelle.</w:t>
      </w:r>
      <w:r w:rsidR="007D4813">
        <w:t xml:space="preserve"> </w:t>
      </w:r>
      <w:r w:rsidR="5F7EFF50">
        <w:t>Dans ce cas-là</w:t>
      </w:r>
      <w:r w:rsidR="771C8BEB">
        <w:t>, si les dépenses exécutées passées semblent :</w:t>
      </w:r>
    </w:p>
    <w:p w14:paraId="15FF559E" w14:textId="1ADF7E6F" w:rsidR="771C8BEB" w:rsidRDefault="771C8BEB">
      <w:pPr>
        <w:pStyle w:val="Paragraphedeliste"/>
        <w:numPr>
          <w:ilvl w:val="0"/>
          <w:numId w:val="25"/>
        </w:numPr>
      </w:pPr>
      <w:r>
        <w:t>Stables : nous utilisons une moyenne des dernières années</w:t>
      </w:r>
    </w:p>
    <w:p w14:paraId="3CDA68E5" w14:textId="05A5BBD9" w:rsidR="14CF23AF" w:rsidRDefault="771C8BEB">
      <w:pPr>
        <w:pStyle w:val="Paragraphedeliste"/>
        <w:numPr>
          <w:ilvl w:val="0"/>
          <w:numId w:val="25"/>
        </w:numPr>
      </w:pPr>
      <w:r>
        <w:t>Augmenter ou diminuer selon une tendance : nous prolongeons cette tendance</w:t>
      </w:r>
    </w:p>
    <w:p w14:paraId="3ABF54C2" w14:textId="40DB05E6" w:rsidR="00ED7EA5" w:rsidRDefault="06C7575D" w:rsidP="006558B9">
      <w:pPr>
        <w:pStyle w:val="Paragraphedeliste"/>
        <w:numPr>
          <w:ilvl w:val="0"/>
          <w:numId w:val="25"/>
        </w:numPr>
      </w:pPr>
      <w:r>
        <w:t>Ne pas appartenir à l’un de ces deux cas : nous utilisons la dernière année disponible</w:t>
      </w:r>
    </w:p>
    <w:p w14:paraId="20518251" w14:textId="77777777" w:rsidR="003D4C40" w:rsidRDefault="003D4C40" w:rsidP="006558B9"/>
    <w:p w14:paraId="0B2D61C8" w14:textId="1BF7AA4B" w:rsidR="507D8090" w:rsidRDefault="4C38F16F" w:rsidP="006558B9">
      <w:pPr>
        <w:pStyle w:val="Titre1"/>
      </w:pPr>
      <w:bookmarkStart w:id="37" w:name="_Toc1227191083"/>
      <w:bookmarkStart w:id="38" w:name="_Ref164952218"/>
      <w:bookmarkStart w:id="39" w:name="_Toc177052055"/>
      <w:r>
        <w:t xml:space="preserve">Méthodologie </w:t>
      </w:r>
      <w:r w:rsidR="23DFF826">
        <w:t xml:space="preserve">générale </w:t>
      </w:r>
      <w:r>
        <w:t>de codage analytique</w:t>
      </w:r>
      <w:bookmarkEnd w:id="37"/>
      <w:bookmarkEnd w:id="38"/>
      <w:bookmarkEnd w:id="39"/>
    </w:p>
    <w:p w14:paraId="1B576A7C" w14:textId="0E83E925" w:rsidR="003B410D" w:rsidRDefault="5D4A3DE0" w:rsidP="001B6CA9">
      <w:pPr>
        <w:pStyle w:val="Titre2"/>
      </w:pPr>
      <w:bookmarkStart w:id="40" w:name="_Toc70882026"/>
      <w:bookmarkStart w:id="41" w:name="_Toc177052056"/>
      <w:r>
        <w:t>Principes généraux</w:t>
      </w:r>
      <w:bookmarkEnd w:id="40"/>
      <w:bookmarkEnd w:id="41"/>
      <w:r w:rsidR="003B410D">
        <w:t xml:space="preserve"> </w:t>
      </w:r>
    </w:p>
    <w:p w14:paraId="2B9A8D78" w14:textId="304DF20F" w:rsidR="35084FFC" w:rsidRDefault="7679AE41" w:rsidP="35084FFC">
      <w:r>
        <w:t>Les données collectées brutes ne permettent pas en tant que telles de réaliser des analyses quantitatives très informées. Nous procédons donc au codage de chaque ligne po</w:t>
      </w:r>
      <w:r w:rsidR="125D4B44">
        <w:t xml:space="preserve">ur permettre ce type d’analyses. </w:t>
      </w:r>
    </w:p>
    <w:p w14:paraId="403D5B02" w14:textId="51B39C44" w:rsidR="35084FFC" w:rsidRDefault="125D4B44" w:rsidP="35084FFC">
      <w:r>
        <w:t>Il s’agit d’</w:t>
      </w:r>
      <w:r w:rsidRPr="006558B9">
        <w:rPr>
          <w:b/>
        </w:rPr>
        <w:t>une mise à jour et d’une amélioration de la méthodologie développée par I4CE en 2021</w:t>
      </w:r>
      <w:r>
        <w:t xml:space="preserve"> (</w:t>
      </w:r>
      <w:hyperlink r:id="rId17">
        <w:r w:rsidRPr="71485570">
          <w:rPr>
            <w:rStyle w:val="Lienhypertexte"/>
          </w:rPr>
          <w:t>I4CE 2021</w:t>
        </w:r>
      </w:hyperlink>
      <w:r>
        <w:t xml:space="preserve">) </w:t>
      </w:r>
      <w:r w:rsidR="3B6881B8">
        <w:t xml:space="preserve">destinée à évaluer la durabilité des financements du système alimentaire. Cette méthode </w:t>
      </w:r>
      <w:r w:rsidR="64917315">
        <w:t>d</w:t>
      </w:r>
      <w:r w:rsidR="3B6881B8">
        <w:t xml:space="preserve">e </w:t>
      </w:r>
      <w:r w:rsidR="64917315">
        <w:t xml:space="preserve">2021 </w:t>
      </w:r>
      <w:r w:rsidR="3B6881B8">
        <w:t>comparait chaque dépense à une conception d’un système alimentaire durable</w:t>
      </w:r>
      <w:r w:rsidR="5BB05926">
        <w:t xml:space="preserve">, relativement consensuelle. </w:t>
      </w:r>
      <w:r w:rsidR="3BB6C6F3">
        <w:t>Cette méthodologie rencontrait plusieurs écueils : la difficulté d’atteindre un consensus sur un système alimentaire “durable” en considérant les trois dimensions de la durabilité : sociale, économique et environnementale, le grand nombre de points de dissensus</w:t>
      </w:r>
      <w:r w:rsidR="3D7E3315">
        <w:t xml:space="preserve"> vis à vis desquels les financements ne pouvaient être évalués, la difficulté d’évaluer chaque financement de manière exhaustive vis à vis d’un système équilibré, etc. </w:t>
      </w:r>
    </w:p>
    <w:p w14:paraId="26EDCFB9" w14:textId="1E17C9FB" w:rsidR="13CE175C" w:rsidRDefault="3D7E3315" w:rsidP="13CE175C">
      <w:r>
        <w:t xml:space="preserve">Dans la présente méthodologie, nous proposons de dépasser ces écueils </w:t>
      </w:r>
      <w:r w:rsidR="4F7BA9F4">
        <w:t>avec</w:t>
      </w:r>
      <w:r>
        <w:t xml:space="preserve"> un</w:t>
      </w:r>
      <w:r w:rsidR="4F7BA9F4">
        <w:t xml:space="preserve">e méthode de codage des financements </w:t>
      </w:r>
      <w:r w:rsidR="4F7BA9F4" w:rsidRPr="44E58DAA">
        <w:rPr>
          <w:b/>
        </w:rPr>
        <w:t>la plus neutre et descriptive possible</w:t>
      </w:r>
      <w:r w:rsidR="4F7BA9F4">
        <w:t xml:space="preserve">. Ce codage porte sur </w:t>
      </w:r>
      <w:r w:rsidR="004F10A9">
        <w:t>cinq</w:t>
      </w:r>
      <w:r w:rsidR="4F7BA9F4">
        <w:t xml:space="preserve"> dimensions : </w:t>
      </w:r>
    </w:p>
    <w:p w14:paraId="559B4A2A" w14:textId="66093D8C" w:rsidR="4F7BA9F4" w:rsidRDefault="4F7BA9F4">
      <w:pPr>
        <w:pStyle w:val="Paragraphedeliste"/>
        <w:numPr>
          <w:ilvl w:val="0"/>
          <w:numId w:val="26"/>
        </w:numPr>
      </w:pPr>
      <w:r w:rsidRPr="078D4CBF">
        <w:rPr>
          <w:b/>
        </w:rPr>
        <w:t>La source du financement</w:t>
      </w:r>
      <w:r>
        <w:t xml:space="preserve"> : </w:t>
      </w:r>
      <w:r w:rsidR="23246621">
        <w:t>r</w:t>
      </w:r>
      <w:r>
        <w:t>e</w:t>
      </w:r>
      <w:r w:rsidR="23246621">
        <w:t>nseigne</w:t>
      </w:r>
      <w:r>
        <w:t xml:space="preserve"> l’origine primaire de la dépense</w:t>
      </w:r>
      <w:r w:rsidR="4CBFE367">
        <w:t xml:space="preserve"> ainsi que</w:t>
      </w:r>
      <w:r>
        <w:t xml:space="preserve"> </w:t>
      </w:r>
      <w:r w:rsidR="5D5CFFB7">
        <w:t>la</w:t>
      </w:r>
      <w:r>
        <w:t xml:space="preserve"> nature de la dépense (dépense budgétaire vs. </w:t>
      </w:r>
      <w:r w:rsidR="00B73BD3">
        <w:t>e</w:t>
      </w:r>
      <w:r>
        <w:t>xoné</w:t>
      </w:r>
      <w:r w:rsidR="2417F643">
        <w:t xml:space="preserve">ration). </w:t>
      </w:r>
    </w:p>
    <w:p w14:paraId="0F64608B" w14:textId="0AA76C1C" w:rsidR="4F7BA9F4" w:rsidRDefault="4F7BA9F4">
      <w:pPr>
        <w:pStyle w:val="Paragraphedeliste"/>
        <w:numPr>
          <w:ilvl w:val="0"/>
          <w:numId w:val="26"/>
        </w:numPr>
      </w:pPr>
      <w:r w:rsidRPr="078D4CBF">
        <w:rPr>
          <w:b/>
        </w:rPr>
        <w:t>Le bénéficiaire du financement</w:t>
      </w:r>
      <w:r w:rsidR="4A5C86FC">
        <w:t xml:space="preserve"> : renseigne le bénéficiaire final de la dépense, </w:t>
      </w:r>
      <w:r w:rsidR="09ED5E3E">
        <w:t xml:space="preserve">celui </w:t>
      </w:r>
      <w:r w:rsidR="4A5C86FC">
        <w:t>qui choisit ce qu'il fait du montant octroyé.</w:t>
      </w:r>
    </w:p>
    <w:p w14:paraId="4CA1E69A" w14:textId="62166FFB" w:rsidR="4A5C86FC" w:rsidRDefault="4A5C86FC">
      <w:pPr>
        <w:pStyle w:val="Paragraphedeliste"/>
        <w:numPr>
          <w:ilvl w:val="0"/>
          <w:numId w:val="26"/>
        </w:numPr>
        <w:rPr>
          <w:rStyle w:val="ui-provider"/>
        </w:rPr>
      </w:pPr>
      <w:r w:rsidRPr="23A26B65">
        <w:rPr>
          <w:rStyle w:val="ui-provider"/>
          <w:b/>
        </w:rPr>
        <w:t>L’horizon temporel des dépenses financées</w:t>
      </w:r>
      <w:r w:rsidRPr="554ACA95">
        <w:rPr>
          <w:rStyle w:val="ui-provider"/>
        </w:rPr>
        <w:t xml:space="preserve"> : </w:t>
      </w:r>
      <w:r w:rsidR="188367F4" w:rsidRPr="63A0A57A">
        <w:rPr>
          <w:rStyle w:val="ui-provider"/>
        </w:rPr>
        <w:t xml:space="preserve">renseigne si la dépense </w:t>
      </w:r>
      <w:r w:rsidR="188367F4" w:rsidRPr="09BD91D7">
        <w:rPr>
          <w:rStyle w:val="ui-provider"/>
        </w:rPr>
        <w:t>financée va durer plusieurs années ou être</w:t>
      </w:r>
      <w:r w:rsidR="00681E32">
        <w:rPr>
          <w:rStyle w:val="ui-provider"/>
        </w:rPr>
        <w:t xml:space="preserve"> théoriquement</w:t>
      </w:r>
      <w:r w:rsidR="188367F4" w:rsidRPr="09BD91D7">
        <w:rPr>
          <w:rStyle w:val="ui-provider"/>
        </w:rPr>
        <w:t xml:space="preserve"> </w:t>
      </w:r>
      <w:r w:rsidR="188367F4" w:rsidRPr="60708C9C">
        <w:rPr>
          <w:rStyle w:val="ui-provider"/>
        </w:rPr>
        <w:t>consommée intégralement dans l’année (</w:t>
      </w:r>
      <w:r w:rsidR="188367F4" w:rsidRPr="7444B236">
        <w:rPr>
          <w:rStyle w:val="ui-provider"/>
        </w:rPr>
        <w:t>devant ainsi être renouvelée chaque année)</w:t>
      </w:r>
    </w:p>
    <w:p w14:paraId="671E600D" w14:textId="783045E9" w:rsidR="188367F4" w:rsidRDefault="188367F4">
      <w:pPr>
        <w:pStyle w:val="Paragraphedeliste"/>
        <w:numPr>
          <w:ilvl w:val="0"/>
          <w:numId w:val="26"/>
        </w:numPr>
        <w:rPr>
          <w:rStyle w:val="ui-provider"/>
        </w:rPr>
      </w:pPr>
      <w:r w:rsidRPr="1037E80F">
        <w:rPr>
          <w:rStyle w:val="ui-provider"/>
          <w:b/>
        </w:rPr>
        <w:t>La thématique principale</w:t>
      </w:r>
      <w:r w:rsidRPr="663005FD">
        <w:rPr>
          <w:rStyle w:val="ui-provider"/>
        </w:rPr>
        <w:t xml:space="preserve"> :</w:t>
      </w:r>
      <w:r w:rsidRPr="49DCE0D4">
        <w:rPr>
          <w:rStyle w:val="ui-provider"/>
        </w:rPr>
        <w:t xml:space="preserve"> renseigne la thématique ou </w:t>
      </w:r>
      <w:r w:rsidRPr="6059C21F">
        <w:rPr>
          <w:rStyle w:val="ui-provider"/>
        </w:rPr>
        <w:t xml:space="preserve">l’enjeu principal auquel </w:t>
      </w:r>
      <w:r w:rsidRPr="7BB6C675">
        <w:rPr>
          <w:rStyle w:val="ui-provider"/>
        </w:rPr>
        <w:t xml:space="preserve">la dépense cherche </w:t>
      </w:r>
      <w:r w:rsidRPr="0658F393">
        <w:rPr>
          <w:rStyle w:val="ui-provider"/>
        </w:rPr>
        <w:t>explicitement</w:t>
      </w:r>
      <w:r w:rsidRPr="34F4DF7E">
        <w:rPr>
          <w:rStyle w:val="ui-provider"/>
        </w:rPr>
        <w:t xml:space="preserve"> </w:t>
      </w:r>
      <w:r w:rsidRPr="7BB6C675">
        <w:rPr>
          <w:rStyle w:val="ui-provider"/>
        </w:rPr>
        <w:t>à répondre</w:t>
      </w:r>
      <w:r w:rsidRPr="34F4DF7E">
        <w:rPr>
          <w:rStyle w:val="ui-provider"/>
        </w:rPr>
        <w:t>.</w:t>
      </w:r>
    </w:p>
    <w:p w14:paraId="577BFA9F" w14:textId="30ABEEA4" w:rsidR="188367F4" w:rsidRDefault="188367F4">
      <w:pPr>
        <w:pStyle w:val="Paragraphedeliste"/>
        <w:numPr>
          <w:ilvl w:val="0"/>
          <w:numId w:val="26"/>
        </w:numPr>
        <w:rPr>
          <w:rStyle w:val="ui-provider"/>
        </w:rPr>
      </w:pPr>
      <w:r w:rsidRPr="23A26B65">
        <w:rPr>
          <w:rStyle w:val="ui-provider"/>
          <w:b/>
        </w:rPr>
        <w:t>La zone géographique</w:t>
      </w:r>
      <w:r w:rsidRPr="700A3EB9">
        <w:rPr>
          <w:rStyle w:val="ui-provider"/>
        </w:rPr>
        <w:t xml:space="preserve"> :</w:t>
      </w:r>
      <w:r w:rsidR="5C3C2E18" w:rsidRPr="5A4C682A">
        <w:rPr>
          <w:rStyle w:val="ui-provider"/>
        </w:rPr>
        <w:t xml:space="preserve"> </w:t>
      </w:r>
      <w:r w:rsidR="5C3C2E18" w:rsidRPr="74FD63FE">
        <w:rPr>
          <w:rStyle w:val="ui-provider"/>
        </w:rPr>
        <w:t xml:space="preserve">la zone </w:t>
      </w:r>
      <w:r w:rsidR="5C3C2E18" w:rsidRPr="3867F612">
        <w:rPr>
          <w:rStyle w:val="ui-provider"/>
        </w:rPr>
        <w:t xml:space="preserve">de France </w:t>
      </w:r>
      <w:r w:rsidR="5C3C2E18" w:rsidRPr="26DE3A0C">
        <w:rPr>
          <w:rStyle w:val="ui-provider"/>
        </w:rPr>
        <w:t>auquel le financement bénéficie (France entière,</w:t>
      </w:r>
      <w:r w:rsidR="5C3C2E18" w:rsidRPr="65D4DC09">
        <w:rPr>
          <w:rStyle w:val="ui-provider"/>
        </w:rPr>
        <w:t xml:space="preserve"> DOM ou Corse</w:t>
      </w:r>
      <w:r w:rsidR="5C3C2E18" w:rsidRPr="5BADF1A9">
        <w:rPr>
          <w:rStyle w:val="ui-provider"/>
        </w:rPr>
        <w:t>)</w:t>
      </w:r>
      <w:r w:rsidR="522C1134" w:rsidRPr="5BADF1A9">
        <w:rPr>
          <w:rStyle w:val="ui-provider"/>
        </w:rPr>
        <w:t xml:space="preserve">. </w:t>
      </w:r>
    </w:p>
    <w:p w14:paraId="482EE837" w14:textId="0CE48203" w:rsidR="38235239" w:rsidRDefault="38235239" w:rsidP="5997DAAA">
      <w:pPr>
        <w:rPr>
          <w:rStyle w:val="ui-provider"/>
        </w:rPr>
      </w:pPr>
      <w:r w:rsidRPr="5997DAAA">
        <w:rPr>
          <w:rStyle w:val="ui-provider"/>
        </w:rPr>
        <w:t xml:space="preserve">Les quatre premières </w:t>
      </w:r>
      <w:r w:rsidRPr="234E64AE">
        <w:rPr>
          <w:rStyle w:val="ui-provider"/>
        </w:rPr>
        <w:t xml:space="preserve">dimensions sont détaillées dans ce </w:t>
      </w:r>
      <w:r w:rsidRPr="5997DAAA">
        <w:rPr>
          <w:rStyle w:val="ui-provider"/>
        </w:rPr>
        <w:t>qui suit</w:t>
      </w:r>
      <w:r w:rsidRPr="78532450">
        <w:rPr>
          <w:rStyle w:val="ui-provider"/>
        </w:rPr>
        <w:t xml:space="preserve">. La cinquième ne l’est pas </w:t>
      </w:r>
      <w:r w:rsidRPr="37B36892">
        <w:rPr>
          <w:rStyle w:val="ui-provider"/>
        </w:rPr>
        <w:t>car</w:t>
      </w:r>
      <w:r w:rsidRPr="5997DAAA">
        <w:rPr>
          <w:rStyle w:val="ui-provider"/>
        </w:rPr>
        <w:t xml:space="preserve"> peu utilisée pour le moment.</w:t>
      </w:r>
    </w:p>
    <w:p w14:paraId="7FAACA07" w14:textId="7FBB5BD1" w:rsidR="1D08B082" w:rsidRDefault="3AE7AC77" w:rsidP="1D08B082">
      <w:pPr>
        <w:rPr>
          <w:rStyle w:val="ui-provider"/>
        </w:rPr>
      </w:pPr>
      <w:r w:rsidRPr="6E6CC496">
        <w:rPr>
          <w:rStyle w:val="ui-provider"/>
        </w:rPr>
        <w:t xml:space="preserve">Nous avons donc codé </w:t>
      </w:r>
      <w:r w:rsidRPr="75021330">
        <w:rPr>
          <w:rStyle w:val="ui-provider"/>
        </w:rPr>
        <w:t>chacune de ces</w:t>
      </w:r>
      <w:r w:rsidRPr="6E6CC496">
        <w:rPr>
          <w:rStyle w:val="ui-provider"/>
        </w:rPr>
        <w:t xml:space="preserve"> </w:t>
      </w:r>
      <w:r w:rsidR="002D5C93" w:rsidRPr="00C20B8C">
        <w:t xml:space="preserve">1231 </w:t>
      </w:r>
      <w:r w:rsidRPr="6E6CC496">
        <w:rPr>
          <w:rStyle w:val="ui-provider"/>
        </w:rPr>
        <w:t xml:space="preserve">lignes de </w:t>
      </w:r>
      <w:r w:rsidRPr="75021330">
        <w:rPr>
          <w:rStyle w:val="ui-provider"/>
        </w:rPr>
        <w:t xml:space="preserve">dépense selon ces </w:t>
      </w:r>
      <w:r w:rsidRPr="1975E5CC">
        <w:rPr>
          <w:rStyle w:val="ui-provider"/>
        </w:rPr>
        <w:t xml:space="preserve">cinq dimensions (avec </w:t>
      </w:r>
      <w:r w:rsidR="007827EB" w:rsidRPr="39BF1EFB">
        <w:rPr>
          <w:rStyle w:val="ui-provider"/>
        </w:rPr>
        <w:t>plusieurs niveaux de détail</w:t>
      </w:r>
      <w:r w:rsidR="007827EB" w:rsidRPr="1975E5CC">
        <w:rPr>
          <w:rStyle w:val="ui-provider"/>
        </w:rPr>
        <w:t xml:space="preserve"> </w:t>
      </w:r>
      <w:r w:rsidR="007827EB">
        <w:rPr>
          <w:rStyle w:val="ui-provider"/>
        </w:rPr>
        <w:t>pour</w:t>
      </w:r>
      <w:r w:rsidRPr="1975E5CC">
        <w:rPr>
          <w:rStyle w:val="ui-provider"/>
        </w:rPr>
        <w:t xml:space="preserve"> ce qui concerne la source</w:t>
      </w:r>
      <w:r w:rsidRPr="7EF5A71A">
        <w:rPr>
          <w:rStyle w:val="ui-provider"/>
        </w:rPr>
        <w:t>, les bénéficiaires et l’horizon temporel</w:t>
      </w:r>
      <w:r w:rsidRPr="39BF1EFB">
        <w:rPr>
          <w:rStyle w:val="ui-provider"/>
        </w:rPr>
        <w:t>).</w:t>
      </w:r>
    </w:p>
    <w:p w14:paraId="1C5DEAB8" w14:textId="7921EF4A" w:rsidR="77C27C90" w:rsidRDefault="77C27C90" w:rsidP="001B6CA9">
      <w:pPr>
        <w:pStyle w:val="Titre2"/>
      </w:pPr>
      <w:bookmarkStart w:id="42" w:name="_Toc1096879977"/>
      <w:bookmarkStart w:id="43" w:name="_Toc177052057"/>
      <w:r>
        <w:t>Source</w:t>
      </w:r>
      <w:bookmarkEnd w:id="42"/>
      <w:bookmarkEnd w:id="43"/>
    </w:p>
    <w:p w14:paraId="5CE952AF" w14:textId="3CA39714" w:rsidR="1D755E49" w:rsidRDefault="70311064" w:rsidP="1D755E49">
      <w:r>
        <w:lastRenderedPageBreak/>
        <w:t xml:space="preserve">Le codage de la source du financement </w:t>
      </w:r>
      <w:r w:rsidR="14DB6FB5">
        <w:t xml:space="preserve">découle mécaniquement de la phase de collecte des données. En effet, </w:t>
      </w:r>
      <w:r w:rsidR="761CC3DE">
        <w:t>l'origine même du document budgétaire public duquel nous extrayons les données indique la source du financement.</w:t>
      </w:r>
    </w:p>
    <w:tbl>
      <w:tblPr>
        <w:tblStyle w:val="Grilledutableau"/>
        <w:tblW w:w="9630" w:type="dxa"/>
        <w:tblLayout w:type="fixed"/>
        <w:tblLook w:val="06A0" w:firstRow="1" w:lastRow="0" w:firstColumn="1" w:lastColumn="0" w:noHBand="1" w:noVBand="1"/>
      </w:tblPr>
      <w:tblGrid>
        <w:gridCol w:w="1470"/>
        <w:gridCol w:w="8160"/>
      </w:tblGrid>
      <w:tr w:rsidR="42CF76AB" w14:paraId="6C867A9E" w14:textId="77777777" w:rsidTr="3F823A5C">
        <w:trPr>
          <w:trHeight w:val="300"/>
        </w:trPr>
        <w:tc>
          <w:tcPr>
            <w:tcW w:w="1470" w:type="dxa"/>
            <w:shd w:val="clear" w:color="auto" w:fill="000000" w:themeFill="text1"/>
          </w:tcPr>
          <w:p w14:paraId="63696719" w14:textId="475E4604" w:rsidR="761CC3DE" w:rsidRDefault="2CEBDB4A" w:rsidP="42CF76AB">
            <w:r>
              <w:t>Code</w:t>
            </w:r>
          </w:p>
        </w:tc>
        <w:tc>
          <w:tcPr>
            <w:tcW w:w="8160" w:type="dxa"/>
            <w:shd w:val="clear" w:color="auto" w:fill="000000" w:themeFill="text1"/>
          </w:tcPr>
          <w:p w14:paraId="7B5C28DC" w14:textId="0DB4A0C8" w:rsidR="761CC3DE" w:rsidRDefault="2CEBDB4A" w:rsidP="42CF76AB">
            <w:r>
              <w:t>Description</w:t>
            </w:r>
          </w:p>
        </w:tc>
      </w:tr>
      <w:tr w:rsidR="42CF76AB" w14:paraId="55AA4253" w14:textId="77777777" w:rsidTr="27629844">
        <w:trPr>
          <w:trHeight w:val="300"/>
        </w:trPr>
        <w:tc>
          <w:tcPr>
            <w:tcW w:w="1470" w:type="dxa"/>
          </w:tcPr>
          <w:p w14:paraId="07C638A7" w14:textId="408E86E9" w:rsidR="761CC3DE" w:rsidRDefault="761CC3DE" w:rsidP="42CF76AB">
            <w:r>
              <w:t>UEPAC</w:t>
            </w:r>
          </w:p>
        </w:tc>
        <w:tc>
          <w:tcPr>
            <w:tcW w:w="8160" w:type="dxa"/>
          </w:tcPr>
          <w:p w14:paraId="102D0208" w14:textId="552157FB" w:rsidR="761CC3DE" w:rsidRDefault="761CC3DE" w:rsidP="42CF76AB">
            <w:r>
              <w:t>Financements de la Politique agricole commune (crédits européens uniquement)</w:t>
            </w:r>
          </w:p>
        </w:tc>
      </w:tr>
      <w:tr w:rsidR="42CF76AB" w14:paraId="3AF47808" w14:textId="77777777" w:rsidTr="27629844">
        <w:trPr>
          <w:trHeight w:val="300"/>
        </w:trPr>
        <w:tc>
          <w:tcPr>
            <w:tcW w:w="1470" w:type="dxa"/>
          </w:tcPr>
          <w:p w14:paraId="7BA3F5D8" w14:textId="023AEDDD" w:rsidR="42CF76AB" w:rsidRDefault="761CC3DE" w:rsidP="42CF76AB">
            <w:r>
              <w:t>UEAUTRES</w:t>
            </w:r>
          </w:p>
        </w:tc>
        <w:tc>
          <w:tcPr>
            <w:tcW w:w="8160" w:type="dxa"/>
          </w:tcPr>
          <w:p w14:paraId="26EE3C9B" w14:textId="6D5D8446" w:rsidR="42CF76AB" w:rsidRDefault="761CC3DE" w:rsidP="42CF76AB">
            <w:r>
              <w:t>Autres fonds de l’Union Européenne (voir</w:t>
            </w:r>
            <w:r w:rsidR="000A5C09">
              <w:t xml:space="preserve"> </w:t>
            </w:r>
            <w:r w:rsidR="000A5C09">
              <w:fldChar w:fldCharType="begin"/>
            </w:r>
            <w:r w:rsidR="000A5C09">
              <w:instrText xml:space="preserve"> REF _Ref164951424 \r \h </w:instrText>
            </w:r>
            <w:r w:rsidR="000A5C09">
              <w:fldChar w:fldCharType="separate"/>
            </w:r>
            <w:r w:rsidR="000A5C09">
              <w:t>8.1</w:t>
            </w:r>
            <w:r w:rsidR="000A5C09">
              <w:fldChar w:fldCharType="end"/>
            </w:r>
            <w:r>
              <w:t xml:space="preserve"> pour le détail des fonds couverts) </w:t>
            </w:r>
          </w:p>
        </w:tc>
      </w:tr>
      <w:tr w:rsidR="42CF76AB" w14:paraId="30FC02BF" w14:textId="77777777" w:rsidTr="27629844">
        <w:trPr>
          <w:trHeight w:val="300"/>
        </w:trPr>
        <w:tc>
          <w:tcPr>
            <w:tcW w:w="1470" w:type="dxa"/>
          </w:tcPr>
          <w:p w14:paraId="4B3B012D" w14:textId="11C6861B" w:rsidR="42CF76AB" w:rsidRDefault="761CC3DE" w:rsidP="42CF76AB">
            <w:r>
              <w:t>BUDGNAT</w:t>
            </w:r>
          </w:p>
        </w:tc>
        <w:tc>
          <w:tcPr>
            <w:tcW w:w="8160" w:type="dxa"/>
          </w:tcPr>
          <w:p w14:paraId="3A2660B0" w14:textId="08555CC2" w:rsidR="42CF76AB" w:rsidRDefault="761CC3DE" w:rsidP="42CF76AB">
            <w:r>
              <w:t>Dépenses budgétaires nationales : de l’</w:t>
            </w:r>
            <w:r w:rsidR="00594801">
              <w:t>État</w:t>
            </w:r>
            <w:r>
              <w:t xml:space="preserve"> et de la Sécurité sociale (voir</w:t>
            </w:r>
            <w:r w:rsidR="00E71F08">
              <w:t xml:space="preserve"> </w:t>
            </w:r>
            <w:r w:rsidR="008C7A52">
              <w:fldChar w:fldCharType="begin"/>
            </w:r>
            <w:r w:rsidR="008C7A52">
              <w:instrText xml:space="preserve"> REF _Ref164951482 \r \h </w:instrText>
            </w:r>
            <w:r w:rsidR="008C7A52">
              <w:fldChar w:fldCharType="separate"/>
            </w:r>
            <w:r w:rsidR="008C7A52">
              <w:t>9.2</w:t>
            </w:r>
            <w:r w:rsidR="008C7A52">
              <w:fldChar w:fldCharType="end"/>
            </w:r>
            <w:r>
              <w:t xml:space="preserve"> pour le détail des missions et programmes budgétaires couverts)</w:t>
            </w:r>
          </w:p>
        </w:tc>
      </w:tr>
      <w:tr w:rsidR="42CF76AB" w14:paraId="673740DA" w14:textId="77777777" w:rsidTr="27629844">
        <w:trPr>
          <w:trHeight w:val="300"/>
        </w:trPr>
        <w:tc>
          <w:tcPr>
            <w:tcW w:w="1470" w:type="dxa"/>
          </w:tcPr>
          <w:p w14:paraId="0F8E78FE" w14:textId="0D6D07C9" w:rsidR="42CF76AB" w:rsidRDefault="761CC3DE" w:rsidP="42CF76AB">
            <w:r>
              <w:t>COLLTERR</w:t>
            </w:r>
          </w:p>
        </w:tc>
        <w:tc>
          <w:tcPr>
            <w:tcW w:w="8160" w:type="dxa"/>
          </w:tcPr>
          <w:p w14:paraId="5366A6CD" w14:textId="1A40BFCE" w:rsidR="42CF76AB" w:rsidRDefault="761CC3DE" w:rsidP="42CF76AB">
            <w:r>
              <w:t xml:space="preserve">Dépenses budgétaires des collectivités territoriales </w:t>
            </w:r>
          </w:p>
        </w:tc>
      </w:tr>
      <w:tr w:rsidR="42CF76AB" w14:paraId="2EF197F3" w14:textId="77777777" w:rsidTr="27629844">
        <w:trPr>
          <w:trHeight w:val="300"/>
        </w:trPr>
        <w:tc>
          <w:tcPr>
            <w:tcW w:w="1470" w:type="dxa"/>
          </w:tcPr>
          <w:p w14:paraId="4036953A" w14:textId="2D535216" w:rsidR="42CF76AB" w:rsidRDefault="1B402E46" w:rsidP="42CF76AB">
            <w:r>
              <w:t>AGEAU</w:t>
            </w:r>
          </w:p>
        </w:tc>
        <w:tc>
          <w:tcPr>
            <w:tcW w:w="8160" w:type="dxa"/>
          </w:tcPr>
          <w:p w14:paraId="707FFAC6" w14:textId="40409CC7" w:rsidR="42CF76AB" w:rsidRDefault="761CC3DE" w:rsidP="42CF76AB">
            <w:r>
              <w:t>Autres : budget des Agences de l’eau</w:t>
            </w:r>
          </w:p>
        </w:tc>
      </w:tr>
      <w:tr w:rsidR="42CF76AB" w14:paraId="4F98100D" w14:textId="77777777" w:rsidTr="27629844">
        <w:trPr>
          <w:trHeight w:val="300"/>
        </w:trPr>
        <w:tc>
          <w:tcPr>
            <w:tcW w:w="1470" w:type="dxa"/>
          </w:tcPr>
          <w:p w14:paraId="66819CAD" w14:textId="7CDE0E9D" w:rsidR="42CF76AB" w:rsidRDefault="761CC3DE" w:rsidP="42CF76AB">
            <w:r>
              <w:t>EXONFISC</w:t>
            </w:r>
          </w:p>
        </w:tc>
        <w:tc>
          <w:tcPr>
            <w:tcW w:w="8160" w:type="dxa"/>
          </w:tcPr>
          <w:p w14:paraId="01C1F62F" w14:textId="09277270" w:rsidR="42CF76AB" w:rsidRDefault="761CC3DE" w:rsidP="42CF76AB">
            <w:r>
              <w:t>Dépenses liées aux exonérations fiscales</w:t>
            </w:r>
          </w:p>
        </w:tc>
      </w:tr>
      <w:tr w:rsidR="42CF76AB" w14:paraId="20487E83" w14:textId="77777777" w:rsidTr="27629844">
        <w:trPr>
          <w:trHeight w:val="300"/>
        </w:trPr>
        <w:tc>
          <w:tcPr>
            <w:tcW w:w="1470" w:type="dxa"/>
          </w:tcPr>
          <w:p w14:paraId="46C7BF43" w14:textId="13129AB5" w:rsidR="42CF76AB" w:rsidRDefault="761CC3DE" w:rsidP="42CF76AB">
            <w:r>
              <w:t>EXONSOC</w:t>
            </w:r>
          </w:p>
        </w:tc>
        <w:tc>
          <w:tcPr>
            <w:tcW w:w="8160" w:type="dxa"/>
          </w:tcPr>
          <w:p w14:paraId="2576CE2D" w14:textId="04696CF5" w:rsidR="42CF76AB" w:rsidRDefault="761CC3DE" w:rsidP="42CF76AB">
            <w:r>
              <w:t>Dépenses liées aux exonérations sociales</w:t>
            </w:r>
          </w:p>
        </w:tc>
      </w:tr>
    </w:tbl>
    <w:p w14:paraId="2E2D9D79" w14:textId="68576188" w:rsidR="32F7784F" w:rsidRDefault="32F7784F" w:rsidP="006558B9"/>
    <w:p w14:paraId="768AAA0C" w14:textId="2F8DF656" w:rsidR="395B0FA2" w:rsidRDefault="395B0FA2" w:rsidP="32F7784F">
      <w:r>
        <w:t>Au-delà de ce premier nouveau de source, nous renseignons jusqu’à 6 niveaux de détail selon les sources. Par exemple, pour les dépenses budgétaires de l’</w:t>
      </w:r>
      <w:r w:rsidR="00594801">
        <w:t>État</w:t>
      </w:r>
      <w:r>
        <w:t>, nous détaillons non seulement “BUDGNAT” mais également la mission, le programme, l’action, la mesure, le titre et la catégorie (cf. Partie</w:t>
      </w:r>
      <w:r w:rsidR="00376208">
        <w:t xml:space="preserve"> </w:t>
      </w:r>
      <w:r w:rsidR="003726AE">
        <w:fldChar w:fldCharType="begin"/>
      </w:r>
      <w:r w:rsidR="003726AE">
        <w:instrText xml:space="preserve"> REF _Ref177033943 \r \h </w:instrText>
      </w:r>
      <w:r w:rsidR="003726AE">
        <w:fldChar w:fldCharType="separate"/>
      </w:r>
      <w:r w:rsidR="003726AE">
        <w:t>9.1.1</w:t>
      </w:r>
      <w:r w:rsidR="003726AE">
        <w:fldChar w:fldCharType="end"/>
      </w:r>
      <w:r>
        <w:t xml:space="preserve"> pour les explications). </w:t>
      </w:r>
      <w:r w:rsidR="774F6FC3">
        <w:t>Autre exemple : p</w:t>
      </w:r>
      <w:r>
        <w:t>our les dépenses de la PAC</w:t>
      </w:r>
      <w:r w:rsidR="4BBB0143">
        <w:t>, nous détaillons également le pilier et la mesure.</w:t>
      </w:r>
    </w:p>
    <w:p w14:paraId="6C3C04EC" w14:textId="4D90E986" w:rsidR="6F11505B" w:rsidRDefault="65D11D65">
      <w:r>
        <w:t xml:space="preserve">Nous codons ainsi la source originelle du financement, indépendamment des potentiels </w:t>
      </w:r>
      <w:r w:rsidR="30A4F5DA">
        <w:t xml:space="preserve">trajets successifs </w:t>
      </w:r>
      <w:r w:rsidR="09D78F9F">
        <w:t>qu’il opère</w:t>
      </w:r>
      <w:r w:rsidR="30A4F5DA">
        <w:t xml:space="preserve"> avant </w:t>
      </w:r>
      <w:r w:rsidR="09D78F9F">
        <w:t>d’atteindre</w:t>
      </w:r>
      <w:r w:rsidR="30A4F5DA">
        <w:t xml:space="preserve"> son bénéficiaire final. </w:t>
      </w:r>
      <w:r w:rsidR="4E5CD54D">
        <w:t>Par exemple, la source d’un financement de la PAC transitant par les Régions avant d’être versé aux agriculteurs sera codé comme “EUPAC”. Autre exemple : la</w:t>
      </w:r>
      <w:r w:rsidR="434F2969">
        <w:t xml:space="preserve"> source d’une</w:t>
      </w:r>
      <w:r w:rsidR="4E5CD54D">
        <w:t xml:space="preserve"> dépense </w:t>
      </w:r>
      <w:r w:rsidR="5B3C229E">
        <w:t>d’</w:t>
      </w:r>
      <w:r w:rsidR="4E5CD54D">
        <w:t xml:space="preserve">exonération sociale (donc </w:t>
      </w:r>
      <w:r w:rsidR="43BDD059">
        <w:t>le manque à gagner pour la Sécurité sociale) qui</w:t>
      </w:r>
      <w:r w:rsidR="4E5CD54D">
        <w:t xml:space="preserve"> </w:t>
      </w:r>
      <w:r w:rsidR="43BDD059">
        <w:t xml:space="preserve">est </w:t>
      </w:r>
      <w:r w:rsidR="1E3D126E">
        <w:t>en fait compensée par une dépense budgétaire de l’</w:t>
      </w:r>
      <w:r w:rsidR="00594801">
        <w:t>État</w:t>
      </w:r>
      <w:r w:rsidR="1E3D126E">
        <w:t xml:space="preserve"> sera codée comme </w:t>
      </w:r>
      <w:r w:rsidR="3E7D05F7">
        <w:t>“BUDGNAT”</w:t>
      </w:r>
      <w:r w:rsidR="1E10AC64">
        <w:t xml:space="preserve"> (cf. Partie</w:t>
      </w:r>
      <w:r w:rsidR="007C7052">
        <w:t xml:space="preserve"> </w:t>
      </w:r>
      <w:r w:rsidR="007C7052">
        <w:fldChar w:fldCharType="begin"/>
      </w:r>
      <w:r w:rsidR="007C7052">
        <w:instrText xml:space="preserve"> REF _Ref164951792 \r \h </w:instrText>
      </w:r>
      <w:r w:rsidR="007C7052">
        <w:fldChar w:fldCharType="separate"/>
      </w:r>
      <w:r w:rsidR="007C7052">
        <w:t>6.2</w:t>
      </w:r>
      <w:r w:rsidR="007C7052">
        <w:fldChar w:fldCharType="end"/>
      </w:r>
      <w:r w:rsidR="1E10AC64">
        <w:t>)</w:t>
      </w:r>
      <w:r w:rsidR="3E7D05F7">
        <w:t>.</w:t>
      </w:r>
    </w:p>
    <w:p w14:paraId="2A7AC503" w14:textId="3B3B885E" w:rsidR="77C27C90" w:rsidRDefault="77C27C90" w:rsidP="001B6CA9">
      <w:pPr>
        <w:pStyle w:val="Titre2"/>
      </w:pPr>
      <w:bookmarkStart w:id="44" w:name="_Toc1017066526"/>
      <w:bookmarkStart w:id="45" w:name="_Ref164951294"/>
      <w:bookmarkStart w:id="46" w:name="_Toc177052058"/>
      <w:r>
        <w:t>Bénéficiaire</w:t>
      </w:r>
      <w:bookmarkEnd w:id="44"/>
      <w:bookmarkEnd w:id="45"/>
      <w:bookmarkEnd w:id="46"/>
    </w:p>
    <w:p w14:paraId="77BB57BE" w14:textId="4731F7BF" w:rsidR="2E05B591" w:rsidRDefault="2E05B591" w:rsidP="33CAD3CF">
      <w:pPr>
        <w:rPr>
          <w:rStyle w:val="ui-provider"/>
        </w:rPr>
      </w:pPr>
      <w:r w:rsidRPr="0B113983">
        <w:rPr>
          <w:rStyle w:val="ui-provider"/>
        </w:rPr>
        <w:t xml:space="preserve">Le bénéficiaire </w:t>
      </w:r>
      <w:r w:rsidRPr="0CC3D461">
        <w:rPr>
          <w:rStyle w:val="ui-provider"/>
        </w:rPr>
        <w:t xml:space="preserve">du financement </w:t>
      </w:r>
      <w:r w:rsidRPr="0B113983">
        <w:rPr>
          <w:rStyle w:val="ui-provider"/>
        </w:rPr>
        <w:t>n’est en revanche pas toujours</w:t>
      </w:r>
      <w:r w:rsidRPr="3D7BFD6E">
        <w:rPr>
          <w:rStyle w:val="ui-provider"/>
        </w:rPr>
        <w:t xml:space="preserve"> explicite</w:t>
      </w:r>
      <w:r w:rsidR="65289FBB" w:rsidRPr="540D9AA3">
        <w:rPr>
          <w:rStyle w:val="ui-provider"/>
        </w:rPr>
        <w:t xml:space="preserve">, et </w:t>
      </w:r>
      <w:r w:rsidR="65289FBB" w:rsidRPr="0811137F">
        <w:rPr>
          <w:rStyle w:val="ui-provider"/>
        </w:rPr>
        <w:t xml:space="preserve">doit être parfois </w:t>
      </w:r>
      <w:r w:rsidR="65289FBB" w:rsidRPr="5DA6B16B">
        <w:rPr>
          <w:rStyle w:val="ui-provider"/>
        </w:rPr>
        <w:t xml:space="preserve">déduit d’une description </w:t>
      </w:r>
      <w:r w:rsidR="65289FBB" w:rsidRPr="2AD93BA8">
        <w:rPr>
          <w:rStyle w:val="ui-provider"/>
        </w:rPr>
        <w:t xml:space="preserve">plus </w:t>
      </w:r>
      <w:r w:rsidR="28AD2475" w:rsidRPr="75BF6317">
        <w:rPr>
          <w:rStyle w:val="ui-provider"/>
        </w:rPr>
        <w:t xml:space="preserve">approfondie de la dépense, par exemple en </w:t>
      </w:r>
      <w:r w:rsidR="28AD2475" w:rsidRPr="43A776F3">
        <w:rPr>
          <w:rStyle w:val="ui-provider"/>
        </w:rPr>
        <w:t xml:space="preserve">consultant l’article de loi </w:t>
      </w:r>
      <w:r w:rsidR="28AD2475" w:rsidRPr="42D89226">
        <w:rPr>
          <w:rStyle w:val="ui-provider"/>
        </w:rPr>
        <w:t>encadrant une dépense fiscale.</w:t>
      </w:r>
      <w:r w:rsidR="6A6D3B06" w:rsidRPr="4BBB727D">
        <w:rPr>
          <w:rStyle w:val="ui-provider"/>
        </w:rPr>
        <w:t xml:space="preserve"> </w:t>
      </w:r>
      <w:r w:rsidR="6A6D3B06" w:rsidRPr="6F392445">
        <w:rPr>
          <w:rStyle w:val="ui-provider"/>
        </w:rPr>
        <w:t>Comme décrit à la partie</w:t>
      </w:r>
      <w:r w:rsidR="00E15910">
        <w:rPr>
          <w:rStyle w:val="ui-provider"/>
        </w:rPr>
        <w:t xml:space="preserve"> </w:t>
      </w:r>
      <w:r w:rsidR="00E15910">
        <w:rPr>
          <w:rStyle w:val="ui-provider"/>
        </w:rPr>
        <w:fldChar w:fldCharType="begin"/>
      </w:r>
      <w:r w:rsidR="00E15910">
        <w:rPr>
          <w:rStyle w:val="ui-provider"/>
        </w:rPr>
        <w:instrText xml:space="preserve"> REF _Ref164951816 \r \h </w:instrText>
      </w:r>
      <w:r w:rsidR="00E15910">
        <w:rPr>
          <w:rStyle w:val="ui-provider"/>
        </w:rPr>
      </w:r>
      <w:r w:rsidR="00E15910">
        <w:rPr>
          <w:rStyle w:val="ui-provider"/>
        </w:rPr>
        <w:fldChar w:fldCharType="separate"/>
      </w:r>
      <w:r w:rsidR="00E15910">
        <w:rPr>
          <w:rStyle w:val="ui-provider"/>
        </w:rPr>
        <w:t>3.2</w:t>
      </w:r>
      <w:r w:rsidR="00E15910">
        <w:rPr>
          <w:rStyle w:val="ui-provider"/>
        </w:rPr>
        <w:fldChar w:fldCharType="end"/>
      </w:r>
      <w:r w:rsidR="6A6D3B06" w:rsidRPr="6F392445">
        <w:rPr>
          <w:rStyle w:val="ui-provider"/>
        </w:rPr>
        <w:t xml:space="preserve">, il est parfois nécessaire d’avoir recours à une règle de proratisation pour </w:t>
      </w:r>
      <w:r w:rsidR="6A6D3B06" w:rsidRPr="5A9619DE">
        <w:rPr>
          <w:rStyle w:val="ui-provider"/>
        </w:rPr>
        <w:t xml:space="preserve">ventiler une dépense agrégée entre différents </w:t>
      </w:r>
      <w:r w:rsidR="6A6D3B06" w:rsidRPr="13FB6EED">
        <w:rPr>
          <w:rStyle w:val="ui-provider"/>
        </w:rPr>
        <w:t>bénéficiaires.</w:t>
      </w:r>
    </w:p>
    <w:p w14:paraId="4F3CAA2B" w14:textId="53FE8195" w:rsidR="581DDECC" w:rsidRDefault="581DDECC" w:rsidP="73E28D3E">
      <w:pPr>
        <w:rPr>
          <w:rStyle w:val="ui-provider"/>
        </w:rPr>
      </w:pPr>
      <w:r w:rsidRPr="73E28D3E">
        <w:rPr>
          <w:rStyle w:val="ui-provider"/>
        </w:rPr>
        <w:t>Lorsque le bénéficiaire n’est pas clairement établi, soit parce qu’il s’agit de dépenses au bénéfice d’une institution publique, soit parce qu’il ne nous est pas possible de ventiler un financement bénéficiant à différentes entités privées du système alimentaire, nous attribuons le financement à un bénéficiaire “Transverse”.</w:t>
      </w:r>
      <w:r w:rsidR="4F209878" w:rsidRPr="2DAEE948">
        <w:rPr>
          <w:rStyle w:val="ui-provider"/>
        </w:rPr>
        <w:t xml:space="preserve"> </w:t>
      </w:r>
      <w:r w:rsidR="4F209878" w:rsidRPr="09420719">
        <w:rPr>
          <w:rStyle w:val="ui-provider"/>
        </w:rPr>
        <w:t>Sont exclues les</w:t>
      </w:r>
      <w:r w:rsidR="4F209878" w:rsidRPr="71D88617">
        <w:rPr>
          <w:rStyle w:val="ui-provider"/>
        </w:rPr>
        <w:t xml:space="preserve"> activités forestières, </w:t>
      </w:r>
      <w:r w:rsidR="4F209878" w:rsidRPr="06401AAD">
        <w:rPr>
          <w:rStyle w:val="ui-provider"/>
        </w:rPr>
        <w:t xml:space="preserve">équestres, et le développement rural </w:t>
      </w:r>
      <w:r w:rsidR="4F209878" w:rsidRPr="59B97B77">
        <w:rPr>
          <w:rStyle w:val="ui-provider"/>
        </w:rPr>
        <w:t>non agricole.</w:t>
      </w:r>
    </w:p>
    <w:p w14:paraId="32C78C59" w14:textId="5BC2FFFF" w:rsidR="7A45AC9A" w:rsidRDefault="7A45AC9A" w:rsidP="0B15E9B0">
      <w:pPr>
        <w:rPr>
          <w:rStyle w:val="ui-provider"/>
        </w:rPr>
      </w:pPr>
      <w:r w:rsidRPr="0B15E9B0">
        <w:rPr>
          <w:rStyle w:val="ui-provider"/>
        </w:rPr>
        <w:t>Même lorsque la description du financement est claire et connue, il arrive souvent que celui-ci transite par plusieurs acteurs. Nous considérons comme bénéficiaire l’acteur final percevant le financement et ayant le pouvoir de décider de son allocation. Le consommateur est par exemple considéré comme le bénéficiaire des exonérations de cotisations associées à la mesure des titre restaurants, car c’est bien lui qui décide ce qu’il fait de l’argent perçu (même si l’utilisation de celui-ci est évidemment soumise à des conditions). Autre exemple : les soutiens à la restauration collective publique sont codés comme bénéficiant au maillon de la restauration hors domicile, car ce sont ces entités qui font les choix d’approvisionnement, d’investissements, etc.</w:t>
      </w:r>
    </w:p>
    <w:p w14:paraId="786D6395" w14:textId="6056CB49" w:rsidR="02A6C432" w:rsidRDefault="7A45AC9A" w:rsidP="02A6C432">
      <w:pPr>
        <w:rPr>
          <w:rStyle w:val="ui-provider"/>
        </w:rPr>
      </w:pPr>
      <w:r w:rsidRPr="40EC3C4B">
        <w:rPr>
          <w:rStyle w:val="ui-provider"/>
        </w:rPr>
        <w:t xml:space="preserve">Chaque ligne de dépense est ainsi associée à l’un des </w:t>
      </w:r>
      <w:r w:rsidRPr="3B33B356">
        <w:rPr>
          <w:rStyle w:val="ui-provider"/>
        </w:rPr>
        <w:t>bénéficiaires suivants :</w:t>
      </w:r>
    </w:p>
    <w:tbl>
      <w:tblPr>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455"/>
        <w:gridCol w:w="8175"/>
      </w:tblGrid>
      <w:tr w:rsidR="00C27BF5" w14:paraId="0FD81782" w14:textId="77777777" w:rsidTr="331C9199">
        <w:trPr>
          <w:trHeight w:val="285"/>
        </w:trPr>
        <w:tc>
          <w:tcPr>
            <w:tcW w:w="1455" w:type="dxa"/>
            <w:shd w:val="clear" w:color="auto" w:fill="000000" w:themeFill="text1"/>
          </w:tcPr>
          <w:p w14:paraId="1ED72885" w14:textId="7414DEC1" w:rsidR="07E4B434" w:rsidRDefault="07E4B434" w:rsidP="331C9199">
            <w:pPr>
              <w:spacing w:after="0"/>
            </w:pPr>
            <w:r>
              <w:t>Code</w:t>
            </w:r>
          </w:p>
        </w:tc>
        <w:tc>
          <w:tcPr>
            <w:tcW w:w="8175" w:type="dxa"/>
            <w:shd w:val="clear" w:color="auto" w:fill="000000" w:themeFill="text1"/>
          </w:tcPr>
          <w:p w14:paraId="20BA7C53" w14:textId="1DFEFB72" w:rsidR="07E4B434" w:rsidRDefault="07E4B434" w:rsidP="331C9199">
            <w:pPr>
              <w:spacing w:after="0"/>
            </w:pPr>
            <w:r>
              <w:t>Description</w:t>
            </w:r>
          </w:p>
        </w:tc>
      </w:tr>
      <w:tr w:rsidR="001B4B1C" w14:paraId="39EFBD80" w14:textId="77777777" w:rsidTr="331C9199">
        <w:trPr>
          <w:trHeight w:val="285"/>
        </w:trPr>
        <w:tc>
          <w:tcPr>
            <w:tcW w:w="1455" w:type="dxa"/>
          </w:tcPr>
          <w:p w14:paraId="6DDE4176" w14:textId="252A9CBA" w:rsidR="001B4B1C" w:rsidRDefault="001B4B1C" w:rsidP="001B4B1C">
            <w:pPr>
              <w:spacing w:after="0"/>
            </w:pPr>
            <w:r w:rsidRPr="00F86215">
              <w:lastRenderedPageBreak/>
              <w:t>PRODINTR</w:t>
            </w:r>
          </w:p>
        </w:tc>
        <w:tc>
          <w:tcPr>
            <w:tcW w:w="8175" w:type="dxa"/>
          </w:tcPr>
          <w:p w14:paraId="10A47411" w14:textId="0B9F6316" w:rsidR="001B4B1C" w:rsidRDefault="001B4B1C" w:rsidP="001B4B1C">
            <w:pPr>
              <w:spacing w:after="0"/>
            </w:pPr>
            <w:r w:rsidRPr="00F86215">
              <w:t>Entreprises de l'amont agricole : production d'engrais, production de solutions de protection des végétaux, vétérinaires, production d'alimentation animale, semences, sélection génétique animale, agroéquipements, etc.</w:t>
            </w:r>
          </w:p>
        </w:tc>
      </w:tr>
      <w:tr w:rsidR="001B4B1C" w14:paraId="2A320A44" w14:textId="77777777" w:rsidTr="331C9199">
        <w:trPr>
          <w:trHeight w:val="285"/>
        </w:trPr>
        <w:tc>
          <w:tcPr>
            <w:tcW w:w="1455" w:type="dxa"/>
          </w:tcPr>
          <w:p w14:paraId="3D938D89" w14:textId="7C17C7D4" w:rsidR="001B4B1C" w:rsidRDefault="001B4B1C" w:rsidP="001B4B1C">
            <w:pPr>
              <w:spacing w:after="0"/>
            </w:pPr>
            <w:r w:rsidRPr="00F86215">
              <w:t>PRODAGRI</w:t>
            </w:r>
          </w:p>
        </w:tc>
        <w:tc>
          <w:tcPr>
            <w:tcW w:w="8175" w:type="dxa"/>
          </w:tcPr>
          <w:p w14:paraId="51E87B12" w14:textId="129DA394" w:rsidR="001B4B1C" w:rsidRDefault="001B4B1C" w:rsidP="001B4B1C">
            <w:pPr>
              <w:spacing w:after="0"/>
            </w:pPr>
            <w:r w:rsidRPr="00F86215">
              <w:t>Exploitations agricoles, organisations de producteurs et syndicats agricoles</w:t>
            </w:r>
          </w:p>
        </w:tc>
      </w:tr>
      <w:tr w:rsidR="001B4B1C" w14:paraId="6AE234F2" w14:textId="77777777" w:rsidTr="331C9199">
        <w:trPr>
          <w:trHeight w:val="285"/>
        </w:trPr>
        <w:tc>
          <w:tcPr>
            <w:tcW w:w="1455" w:type="dxa"/>
          </w:tcPr>
          <w:p w14:paraId="514E490D" w14:textId="4412485B" w:rsidR="001B4B1C" w:rsidRDefault="001B4B1C" w:rsidP="001B4B1C">
            <w:pPr>
              <w:spacing w:after="0"/>
            </w:pPr>
            <w:r w:rsidRPr="00F86215">
              <w:t>PECHAQUA</w:t>
            </w:r>
          </w:p>
        </w:tc>
        <w:tc>
          <w:tcPr>
            <w:tcW w:w="8175" w:type="dxa"/>
          </w:tcPr>
          <w:p w14:paraId="23AC30E2" w14:textId="0943598D" w:rsidR="001B4B1C" w:rsidRDefault="001B4B1C" w:rsidP="001B4B1C">
            <w:pPr>
              <w:spacing w:after="0"/>
            </w:pPr>
            <w:r w:rsidRPr="00F86215">
              <w:t>Entreprises de pêche et l'aquaculture et institutions publiques qui y sont liées</w:t>
            </w:r>
          </w:p>
        </w:tc>
      </w:tr>
      <w:tr w:rsidR="001B4B1C" w14:paraId="3AE768F4" w14:textId="77777777" w:rsidTr="331C9199">
        <w:trPr>
          <w:trHeight w:val="285"/>
        </w:trPr>
        <w:tc>
          <w:tcPr>
            <w:tcW w:w="1455" w:type="dxa"/>
          </w:tcPr>
          <w:p w14:paraId="64B55083" w14:textId="647387AF" w:rsidR="001B4B1C" w:rsidRDefault="001B4B1C" w:rsidP="001B4B1C">
            <w:pPr>
              <w:spacing w:after="0"/>
            </w:pPr>
            <w:r w:rsidRPr="00F86215">
              <w:t>TRANSFO</w:t>
            </w:r>
          </w:p>
        </w:tc>
        <w:tc>
          <w:tcPr>
            <w:tcW w:w="8175" w:type="dxa"/>
          </w:tcPr>
          <w:p w14:paraId="24059001" w14:textId="2BBF294C" w:rsidR="001B4B1C" w:rsidRDefault="001B4B1C" w:rsidP="001B4B1C">
            <w:pPr>
              <w:spacing w:after="0"/>
            </w:pPr>
            <w:r w:rsidRPr="00F86215">
              <w:t>Entreprises de la transformation alimentaire au sens large : abattoirs, collecte et stockage, première, deuxième et troisième transformation, commerce de gros, etc. Les coopératives agricoles sont incluses dans ce groupe de bénéficiaires</w:t>
            </w:r>
          </w:p>
        </w:tc>
      </w:tr>
      <w:tr w:rsidR="001B4B1C" w14:paraId="1680878D" w14:textId="77777777" w:rsidTr="331C9199">
        <w:trPr>
          <w:trHeight w:val="285"/>
        </w:trPr>
        <w:tc>
          <w:tcPr>
            <w:tcW w:w="1455" w:type="dxa"/>
          </w:tcPr>
          <w:p w14:paraId="22A307C1" w14:textId="19CA1052" w:rsidR="001B4B1C" w:rsidRDefault="001B4B1C" w:rsidP="001B4B1C">
            <w:pPr>
              <w:spacing w:after="0"/>
            </w:pPr>
            <w:r w:rsidRPr="00F86215">
              <w:t>DISTRIB</w:t>
            </w:r>
          </w:p>
        </w:tc>
        <w:tc>
          <w:tcPr>
            <w:tcW w:w="8175" w:type="dxa"/>
          </w:tcPr>
          <w:p w14:paraId="431FAD8E" w14:textId="05CDBFC7" w:rsidR="001B4B1C" w:rsidRDefault="001B4B1C" w:rsidP="001B4B1C">
            <w:pPr>
              <w:spacing w:after="0"/>
            </w:pPr>
            <w:r w:rsidRPr="00F86215">
              <w:t>Entreprises de la petite, grande, et moyenne distribution de vente au détail</w:t>
            </w:r>
          </w:p>
        </w:tc>
      </w:tr>
      <w:tr w:rsidR="001B4B1C" w14:paraId="0FF37EE7" w14:textId="77777777" w:rsidTr="331C9199">
        <w:trPr>
          <w:trHeight w:val="285"/>
        </w:trPr>
        <w:tc>
          <w:tcPr>
            <w:tcW w:w="1455" w:type="dxa"/>
          </w:tcPr>
          <w:p w14:paraId="5C6BE7A4" w14:textId="3CD7B709" w:rsidR="001B4B1C" w:rsidRDefault="001B4B1C" w:rsidP="001B4B1C">
            <w:pPr>
              <w:spacing w:after="0"/>
            </w:pPr>
            <w:r w:rsidRPr="00F86215">
              <w:t>RHD</w:t>
            </w:r>
          </w:p>
        </w:tc>
        <w:tc>
          <w:tcPr>
            <w:tcW w:w="8175" w:type="dxa"/>
          </w:tcPr>
          <w:p w14:paraId="3F22EE57" w14:textId="19DB0A24" w:rsidR="001B4B1C" w:rsidRDefault="001B4B1C" w:rsidP="001B4B1C">
            <w:pPr>
              <w:spacing w:after="0"/>
            </w:pPr>
            <w:r w:rsidRPr="00F86215">
              <w:t>Organismes publics ou privés de restauration commerciale et collective</w:t>
            </w:r>
          </w:p>
        </w:tc>
      </w:tr>
      <w:tr w:rsidR="001B4B1C" w14:paraId="4C313FC1" w14:textId="77777777" w:rsidTr="331C9199">
        <w:trPr>
          <w:trHeight w:val="285"/>
        </w:trPr>
        <w:tc>
          <w:tcPr>
            <w:tcW w:w="1455" w:type="dxa"/>
          </w:tcPr>
          <w:p w14:paraId="11B63530" w14:textId="1CA4089A" w:rsidR="001B4B1C" w:rsidRDefault="001B4B1C" w:rsidP="001B4B1C">
            <w:pPr>
              <w:spacing w:after="0"/>
            </w:pPr>
            <w:r w:rsidRPr="00F86215">
              <w:t>CONSO</w:t>
            </w:r>
          </w:p>
        </w:tc>
        <w:tc>
          <w:tcPr>
            <w:tcW w:w="8175" w:type="dxa"/>
          </w:tcPr>
          <w:p w14:paraId="2F87E50F" w14:textId="567DDDB8" w:rsidR="001B4B1C" w:rsidRDefault="001B4B1C" w:rsidP="001B4B1C">
            <w:pPr>
              <w:spacing w:after="0"/>
            </w:pPr>
            <w:r w:rsidRPr="00F86215">
              <w:t>Consommation alimentaire des ménages</w:t>
            </w:r>
          </w:p>
        </w:tc>
      </w:tr>
      <w:tr w:rsidR="001B4B1C" w14:paraId="6DD9266E" w14:textId="77777777" w:rsidTr="331C9199">
        <w:trPr>
          <w:trHeight w:val="435"/>
        </w:trPr>
        <w:tc>
          <w:tcPr>
            <w:tcW w:w="1455" w:type="dxa"/>
          </w:tcPr>
          <w:p w14:paraId="05157777" w14:textId="2FABF9D4" w:rsidR="001B4B1C" w:rsidRDefault="001B4B1C" w:rsidP="001B4B1C">
            <w:pPr>
              <w:spacing w:after="0"/>
            </w:pPr>
            <w:r w:rsidRPr="00F86215">
              <w:t>TRANSVERSE</w:t>
            </w:r>
          </w:p>
        </w:tc>
        <w:tc>
          <w:tcPr>
            <w:tcW w:w="8175" w:type="dxa"/>
          </w:tcPr>
          <w:p w14:paraId="1AF5F69E" w14:textId="417C9ABA" w:rsidR="001B4B1C" w:rsidRDefault="001B4B1C" w:rsidP="001B4B1C">
            <w:pPr>
              <w:spacing w:after="0"/>
            </w:pPr>
            <w:r w:rsidRPr="00F86215">
              <w:t>Institutions publiques liées à l'agriculture et l'alimentation, ou entreprises privées du système alimentaire français listées n'ayant pas pu être isolées dans un maillon</w:t>
            </w:r>
          </w:p>
        </w:tc>
      </w:tr>
    </w:tbl>
    <w:p w14:paraId="15771BBA" w14:textId="3D14F867" w:rsidR="0B15E9B0" w:rsidRDefault="0B15E9B0" w:rsidP="0B15E9B0">
      <w:pPr>
        <w:rPr>
          <w:rStyle w:val="ui-provider"/>
        </w:rPr>
      </w:pPr>
    </w:p>
    <w:p w14:paraId="3988E8A6" w14:textId="67B91FA7" w:rsidR="063709CA" w:rsidRDefault="399E4523" w:rsidP="063709CA">
      <w:pPr>
        <w:rPr>
          <w:rStyle w:val="ui-provider"/>
        </w:rPr>
      </w:pPr>
      <w:r w:rsidRPr="385902F0">
        <w:rPr>
          <w:rStyle w:val="ui-provider"/>
        </w:rPr>
        <w:t xml:space="preserve">De plus, en fonction du </w:t>
      </w:r>
      <w:r w:rsidR="717F5AC7" w:rsidRPr="2A8D217C">
        <w:rPr>
          <w:rStyle w:val="ui-provider"/>
        </w:rPr>
        <w:t>niveau de détail de la description</w:t>
      </w:r>
      <w:r w:rsidR="07B8A9B7" w:rsidRPr="127E7CD2">
        <w:rPr>
          <w:rStyle w:val="ui-provider"/>
        </w:rPr>
        <w:t xml:space="preserve"> de la dépense</w:t>
      </w:r>
      <w:r w:rsidR="717F5AC7" w:rsidRPr="2A8D217C">
        <w:rPr>
          <w:rStyle w:val="ui-provider"/>
        </w:rPr>
        <w:t xml:space="preserve">, il est parfois </w:t>
      </w:r>
      <w:r w:rsidR="717F5AC7" w:rsidRPr="289C801B">
        <w:rPr>
          <w:rStyle w:val="ui-provider"/>
        </w:rPr>
        <w:t xml:space="preserve">possible de </w:t>
      </w:r>
      <w:r w:rsidR="7C933A7E" w:rsidRPr="385902F0">
        <w:rPr>
          <w:rStyle w:val="ui-provider"/>
        </w:rPr>
        <w:t xml:space="preserve">préciser </w:t>
      </w:r>
      <w:r w:rsidR="717F5AC7" w:rsidRPr="289C801B">
        <w:rPr>
          <w:rStyle w:val="ui-provider"/>
        </w:rPr>
        <w:t>le bénéficiaire : par exemple</w:t>
      </w:r>
      <w:r w:rsidR="717F5AC7" w:rsidRPr="0AA04131">
        <w:rPr>
          <w:rStyle w:val="ui-provider"/>
        </w:rPr>
        <w:t xml:space="preserve"> “Production agricole” &gt; “Production végétale” </w:t>
      </w:r>
      <w:r w:rsidR="717F5AC7" w:rsidRPr="6EB94EFC">
        <w:rPr>
          <w:rStyle w:val="ui-provider"/>
        </w:rPr>
        <w:t xml:space="preserve">&gt; “Viticulture et viniculture”. </w:t>
      </w:r>
      <w:r w:rsidR="717F5AC7" w:rsidRPr="74BBC613">
        <w:rPr>
          <w:rStyle w:val="ui-provider"/>
        </w:rPr>
        <w:t xml:space="preserve">Nous </w:t>
      </w:r>
      <w:r w:rsidR="30389A04" w:rsidRPr="74BBC613">
        <w:rPr>
          <w:rStyle w:val="ui-provider"/>
        </w:rPr>
        <w:t>renseignons ces détails chaque fois que ceux-ci sont disponibles. La liste complète des codes de bénéficiaires</w:t>
      </w:r>
      <w:r w:rsidR="61B7E60C" w:rsidRPr="6D74DF51">
        <w:rPr>
          <w:rStyle w:val="ui-provider"/>
        </w:rPr>
        <w:t xml:space="preserve"> est disponible en Annexe (voir </w:t>
      </w:r>
      <w:r w:rsidR="61B7E60C" w:rsidRPr="00E15910">
        <w:rPr>
          <w:rStyle w:val="ui-provider"/>
        </w:rPr>
        <w:t xml:space="preserve">partie </w:t>
      </w:r>
      <w:r w:rsidR="00E15910" w:rsidRPr="00E15910">
        <w:rPr>
          <w:rStyle w:val="ui-provider"/>
        </w:rPr>
        <w:fldChar w:fldCharType="begin"/>
      </w:r>
      <w:r w:rsidR="00E15910" w:rsidRPr="00E15910">
        <w:rPr>
          <w:rStyle w:val="ui-provider"/>
        </w:rPr>
        <w:instrText xml:space="preserve"> REF _Ref164951836 \r \h </w:instrText>
      </w:r>
      <w:r w:rsidR="00E15910">
        <w:rPr>
          <w:rStyle w:val="ui-provider"/>
        </w:rPr>
        <w:instrText xml:space="preserve"> \* MERGEFORMAT </w:instrText>
      </w:r>
      <w:r w:rsidR="00E15910" w:rsidRPr="00E15910">
        <w:rPr>
          <w:rStyle w:val="ui-provider"/>
        </w:rPr>
      </w:r>
      <w:r w:rsidR="00E15910" w:rsidRPr="00E15910">
        <w:rPr>
          <w:rStyle w:val="ui-provider"/>
        </w:rPr>
        <w:fldChar w:fldCharType="separate"/>
      </w:r>
      <w:r w:rsidR="00E15910" w:rsidRPr="00E15910">
        <w:rPr>
          <w:rStyle w:val="ui-provider"/>
        </w:rPr>
        <w:t>13.1</w:t>
      </w:r>
      <w:r w:rsidR="00E15910" w:rsidRPr="00E15910">
        <w:rPr>
          <w:rStyle w:val="ui-provider"/>
        </w:rPr>
        <w:fldChar w:fldCharType="end"/>
      </w:r>
      <w:r w:rsidR="61B7E60C" w:rsidRPr="00E15910">
        <w:rPr>
          <w:rStyle w:val="ui-provider"/>
        </w:rPr>
        <w:t>)</w:t>
      </w:r>
    </w:p>
    <w:p w14:paraId="3EBE5314" w14:textId="2679DED9" w:rsidR="77C27C90" w:rsidRDefault="77C27C90" w:rsidP="001B6CA9">
      <w:pPr>
        <w:pStyle w:val="Titre2"/>
      </w:pPr>
      <w:bookmarkStart w:id="47" w:name="_Toc164263669"/>
      <w:bookmarkStart w:id="48" w:name="_Toc164263670"/>
      <w:bookmarkStart w:id="49" w:name="_Toc145607741"/>
      <w:bookmarkStart w:id="50" w:name="_Toc177052059"/>
      <w:bookmarkEnd w:id="47"/>
      <w:bookmarkEnd w:id="48"/>
      <w:r>
        <w:t>Horizon temporel</w:t>
      </w:r>
      <w:bookmarkEnd w:id="49"/>
      <w:bookmarkEnd w:id="50"/>
    </w:p>
    <w:p w14:paraId="0AD78DC5" w14:textId="1A45FD57" w:rsidR="35B1404D" w:rsidRDefault="062CE798" w:rsidP="3080B104">
      <w:r>
        <w:t xml:space="preserve">L’horizon temporel du financement consiste à préciser si la dépense finance du </w:t>
      </w:r>
      <w:r w:rsidRPr="006558B9">
        <w:rPr>
          <w:b/>
        </w:rPr>
        <w:t>fonctionnement courant</w:t>
      </w:r>
      <w:r>
        <w:t xml:space="preserve"> (dépenses consommées dans l’année, renouvelées chaque année) ou des </w:t>
      </w:r>
      <w:r w:rsidRPr="006558B9">
        <w:rPr>
          <w:b/>
        </w:rPr>
        <w:t xml:space="preserve">investissements </w:t>
      </w:r>
      <w:r>
        <w:t>(</w:t>
      </w:r>
      <w:r w:rsidR="49FD53AC">
        <w:t xml:space="preserve">dépenses dans des actifs </w:t>
      </w:r>
      <w:r>
        <w:t xml:space="preserve">matériels ou </w:t>
      </w:r>
      <w:r w:rsidR="49FD53AC">
        <w:t xml:space="preserve">immatériels, qui dureront plusieurs années). On parle aussi d’OPEX (pour </w:t>
      </w:r>
      <w:r w:rsidR="49FD53AC" w:rsidRPr="006558B9">
        <w:rPr>
          <w:i/>
        </w:rPr>
        <w:t>operational expendit</w:t>
      </w:r>
      <w:r w:rsidR="2013F5D2" w:rsidRPr="006558B9">
        <w:rPr>
          <w:i/>
        </w:rPr>
        <w:t>ures</w:t>
      </w:r>
      <w:r w:rsidR="2013F5D2">
        <w:t xml:space="preserve">) et CAPEX (pour </w:t>
      </w:r>
      <w:r w:rsidR="2013F5D2" w:rsidRPr="006558B9">
        <w:rPr>
          <w:i/>
        </w:rPr>
        <w:t>capital expenditures</w:t>
      </w:r>
      <w:r w:rsidR="2013F5D2">
        <w:t>) en anglais.</w:t>
      </w:r>
      <w:r w:rsidR="3F6A3657">
        <w:t xml:space="preserve"> Nous utiliserons ces termes dans ce qui suit par souci de simplification.</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990"/>
        <w:gridCol w:w="7330"/>
      </w:tblGrid>
      <w:tr w:rsidR="0C0D86F4" w14:paraId="7CDA4515" w14:textId="77777777" w:rsidTr="1C6F2D72">
        <w:trPr>
          <w:trHeight w:val="285"/>
        </w:trPr>
        <w:tc>
          <w:tcPr>
            <w:tcW w:w="990" w:type="dxa"/>
            <w:shd w:val="clear" w:color="auto" w:fill="000000" w:themeFill="text1"/>
          </w:tcPr>
          <w:p w14:paraId="5512EAB4" w14:textId="7EDED5A4" w:rsidR="0C0D86F4" w:rsidRDefault="3F7C5D8D" w:rsidP="0C0D86F4">
            <w:r>
              <w:t>Code</w:t>
            </w:r>
          </w:p>
        </w:tc>
        <w:tc>
          <w:tcPr>
            <w:tcW w:w="7330" w:type="dxa"/>
            <w:shd w:val="clear" w:color="auto" w:fill="000000" w:themeFill="text1"/>
          </w:tcPr>
          <w:p w14:paraId="708E1B2E" w14:textId="4F1E7758" w:rsidR="0C0D86F4" w:rsidRDefault="3F7C5D8D" w:rsidP="0C0D86F4">
            <w:pPr>
              <w:jc w:val="left"/>
            </w:pPr>
            <w:r>
              <w:t>Description</w:t>
            </w:r>
          </w:p>
        </w:tc>
      </w:tr>
      <w:tr w:rsidR="00515202" w14:paraId="4B40EDC9" w14:textId="77777777" w:rsidTr="006558B9">
        <w:trPr>
          <w:trHeight w:val="285"/>
        </w:trPr>
        <w:tc>
          <w:tcPr>
            <w:tcW w:w="990" w:type="dxa"/>
          </w:tcPr>
          <w:p w14:paraId="07B25D85" w14:textId="38121CD5" w:rsidR="00515202" w:rsidRPr="006558B9" w:rsidRDefault="00515202" w:rsidP="00515202">
            <w:pPr>
              <w:spacing w:after="0"/>
            </w:pPr>
            <w:r w:rsidRPr="00E21C93">
              <w:t>CAPEX</w:t>
            </w:r>
          </w:p>
        </w:tc>
        <w:tc>
          <w:tcPr>
            <w:tcW w:w="7330" w:type="dxa"/>
          </w:tcPr>
          <w:p w14:paraId="76402516" w14:textId="627D7237" w:rsidR="00515202" w:rsidRPr="006558B9" w:rsidRDefault="00515202" w:rsidP="00515202">
            <w:pPr>
              <w:spacing w:after="0"/>
              <w:jc w:val="left"/>
            </w:pPr>
            <w:r w:rsidRPr="00E21C93">
              <w:t>Financements de dépenses : d'immobilisations matérielles (construction, machines, etc.) ; d'activités de structuration de filière ; de recherche, d'études, de développement ; de formation initiale ou continue ; d’actions d'animation de réseaux, d'animation territoriale ; de production de données et de statistiques.</w:t>
            </w:r>
          </w:p>
        </w:tc>
      </w:tr>
      <w:tr w:rsidR="00515202" w14:paraId="66D27E0B" w14:textId="77777777" w:rsidTr="006558B9">
        <w:trPr>
          <w:trHeight w:val="285"/>
        </w:trPr>
        <w:tc>
          <w:tcPr>
            <w:tcW w:w="990" w:type="dxa"/>
          </w:tcPr>
          <w:p w14:paraId="74394C16" w14:textId="5A2346B5" w:rsidR="00515202" w:rsidRPr="006558B9" w:rsidRDefault="00515202" w:rsidP="00515202">
            <w:pPr>
              <w:spacing w:after="0"/>
            </w:pPr>
            <w:r w:rsidRPr="00E21C93">
              <w:t>OPEX</w:t>
            </w:r>
          </w:p>
        </w:tc>
        <w:tc>
          <w:tcPr>
            <w:tcW w:w="7330" w:type="dxa"/>
          </w:tcPr>
          <w:p w14:paraId="217007D3" w14:textId="7288FDAE" w:rsidR="00515202" w:rsidRPr="006558B9" w:rsidRDefault="00515202" w:rsidP="00515202">
            <w:pPr>
              <w:spacing w:after="0"/>
            </w:pPr>
            <w:r w:rsidRPr="00E21C93">
              <w:t>Financements de dépenses de fonctionnement courant (énergie, approvisionnement, personnel non enseignant, logiciel, etc.)</w:t>
            </w:r>
          </w:p>
        </w:tc>
      </w:tr>
    </w:tbl>
    <w:p w14:paraId="73D17A49" w14:textId="3FF0E70B" w:rsidR="256C2ACF" w:rsidRDefault="256C2ACF" w:rsidP="256C2ACF"/>
    <w:p w14:paraId="53FA55F6" w14:textId="45EA5A01" w:rsidR="48B2AA14" w:rsidRDefault="48B2AA14" w:rsidP="536D8482">
      <w:r>
        <w:t>A noter que nous optons pour une acception assez large des CAPEX, comme dépenses d’investissements matériels et immatériels. Nous détaillons également systématiquement pour toutes les dépenses codées en “CAPEX” s’il s’agit d’actifs matériels ou immatériels.</w:t>
      </w:r>
    </w:p>
    <w:p w14:paraId="7048634A" w14:textId="2D5EDE7F" w:rsidR="504DAB57" w:rsidRDefault="2013F5D2" w:rsidP="504DAB57">
      <w:r>
        <w:t>Là encore, une lecture de la description de la dépense est parfois nécessaire pour renseigner cette dimension.</w:t>
      </w:r>
      <w:r w:rsidR="5188FE42">
        <w:t xml:space="preserve"> La granularité de l’information</w:t>
      </w:r>
      <w:r>
        <w:t xml:space="preserve"> n’est cependant pas toujours </w:t>
      </w:r>
      <w:r w:rsidR="3C0975F5">
        <w:t>suffisante</w:t>
      </w:r>
      <w:r w:rsidR="5188FE42">
        <w:t>, avec une même enveloppe mélangeant OPEX et CAPEX.</w:t>
      </w:r>
      <w:r w:rsidR="04FFDE5A">
        <w:t xml:space="preserve"> Dans ces cas, nous codons selon le type de dépense majoritaire. Par exemple, les mesures agroenvironnementales et climatiques (MAEC) de la PAC financent les deux types de dépenses, mais principalement du CAPEX : nous c</w:t>
      </w:r>
      <w:r w:rsidR="792F51AC">
        <w:t>odons donc l’enveloppe entière en CAPEX.</w:t>
      </w:r>
    </w:p>
    <w:p w14:paraId="7953F3D8" w14:textId="0206BBE8" w:rsidR="6573805F" w:rsidRDefault="792F51AC" w:rsidP="6573805F">
      <w:r>
        <w:t>Même lorsque la description est suffisamment précise, il existe souvent des cas limite</w:t>
      </w:r>
      <w:r w:rsidR="654BC2C6">
        <w:t xml:space="preserve">, notamment liée à notre acception large des CAPEX aux immobilisations à la fois matérielles et immatérielles. Les dépenses publiques de fonctionnement de l’enseignement agricole en sont un bon exemple. </w:t>
      </w:r>
      <w:r w:rsidR="398C10C5">
        <w:t xml:space="preserve">Nous avons fait le choix de coder en </w:t>
      </w:r>
      <w:r w:rsidR="398C10C5">
        <w:lastRenderedPageBreak/>
        <w:t xml:space="preserve">CAPEX tous les frais de personnel dont la fonction est l’enseignement, et en OPEX toutes les autres dépenses de fonctionnement (administration, entretien, etc.). </w:t>
      </w:r>
      <w:r w:rsidR="6893D1EB">
        <w:t xml:space="preserve">La formation </w:t>
      </w:r>
      <w:r w:rsidR="398C10C5">
        <w:t>fourni</w:t>
      </w:r>
      <w:r w:rsidR="76B75417">
        <w:t>e</w:t>
      </w:r>
      <w:r w:rsidR="398C10C5">
        <w:t xml:space="preserve"> par le p</w:t>
      </w:r>
      <w:r w:rsidR="1D0021C0">
        <w:t xml:space="preserve">ersonnel enseignant </w:t>
      </w:r>
      <w:r w:rsidR="4F47B240">
        <w:t xml:space="preserve">aux élèves </w:t>
      </w:r>
      <w:r w:rsidR="1D0021C0">
        <w:t>est en effet un</w:t>
      </w:r>
      <w:r w:rsidR="398C10C5">
        <w:t xml:space="preserve"> </w:t>
      </w:r>
      <w:r w:rsidR="1D0021C0">
        <w:t xml:space="preserve">actif </w:t>
      </w:r>
      <w:r w:rsidR="26C04924">
        <w:t xml:space="preserve">immatériel </w:t>
      </w:r>
      <w:r w:rsidR="1D0021C0">
        <w:t xml:space="preserve">qui va durer plusieurs années </w:t>
      </w:r>
      <w:r w:rsidR="0D731A0C">
        <w:t xml:space="preserve">pour ces élèves, tandis que les fonctions support de cet enseignement n’auront pas d’impact de moyen ou long terme. </w:t>
      </w:r>
    </w:p>
    <w:p w14:paraId="000A3B39" w14:textId="43425127" w:rsidR="583A380A" w:rsidRDefault="583A380A" w:rsidP="583A380A"/>
    <w:p w14:paraId="144C96ED" w14:textId="77777777" w:rsidR="00515202" w:rsidRDefault="00515202" w:rsidP="583A380A"/>
    <w:p w14:paraId="0C87B95A" w14:textId="77777777" w:rsidR="00515202" w:rsidRDefault="00515202" w:rsidP="583A380A"/>
    <w:p w14:paraId="11162F4C" w14:textId="673ADEF0" w:rsidR="37DF53CA" w:rsidRDefault="6342FEA6" w:rsidP="001B6CA9">
      <w:pPr>
        <w:pStyle w:val="Titre2"/>
      </w:pPr>
      <w:bookmarkStart w:id="51" w:name="_Toc142106594"/>
      <w:bookmarkStart w:id="52" w:name="_Toc177052060"/>
      <w:r>
        <w:t>Thématique principale</w:t>
      </w:r>
      <w:bookmarkEnd w:id="51"/>
      <w:bookmarkEnd w:id="52"/>
    </w:p>
    <w:p w14:paraId="2D6C1F9C" w14:textId="33664327" w:rsidR="6A2DA604" w:rsidRPr="0007351C" w:rsidRDefault="7C8617A4" w:rsidP="006558B9">
      <w:pPr>
        <w:rPr>
          <w:rFonts w:eastAsiaTheme="minorEastAsia" w:cstheme="minorBidi"/>
        </w:rPr>
      </w:pPr>
      <w:r w:rsidRPr="006558B9">
        <w:rPr>
          <w:rFonts w:eastAsiaTheme="minorEastAsia" w:cstheme="minorBidi"/>
        </w:rPr>
        <w:t xml:space="preserve">Enfin, </w:t>
      </w:r>
      <w:r w:rsidR="202E96E1" w:rsidRPr="006558B9">
        <w:rPr>
          <w:rFonts w:eastAsiaTheme="minorEastAsia" w:cstheme="minorBidi"/>
        </w:rPr>
        <w:t>renseigner la</w:t>
      </w:r>
      <w:r w:rsidRPr="006558B9">
        <w:rPr>
          <w:rFonts w:eastAsiaTheme="minorEastAsia" w:cstheme="minorBidi"/>
        </w:rPr>
        <w:t xml:space="preserve"> </w:t>
      </w:r>
      <w:r w:rsidR="170A9A82" w:rsidRPr="006558B9">
        <w:rPr>
          <w:rFonts w:eastAsiaTheme="minorEastAsia" w:cstheme="minorBidi"/>
        </w:rPr>
        <w:t xml:space="preserve">thématique principale du financement nécessite aussi souvent de consulter un descriptif relativement détaillé de la dépense. Nous avons recensé 28 thématiques </w:t>
      </w:r>
      <w:r w:rsidR="324E31A0" w:rsidRPr="006558B9">
        <w:rPr>
          <w:rFonts w:eastAsiaTheme="minorEastAsia" w:cstheme="minorBidi"/>
        </w:rPr>
        <w:t>explicites des financements publics dédiés au sy</w:t>
      </w:r>
      <w:r w:rsidR="2339FB24" w:rsidRPr="0007351C">
        <w:rPr>
          <w:rFonts w:eastAsiaTheme="minorEastAsia" w:cstheme="minorBidi"/>
        </w:rPr>
        <w:t>stème alimentaire.</w:t>
      </w:r>
      <w:r w:rsidR="3FADB5A9" w:rsidRPr="0007351C">
        <w:rPr>
          <w:rFonts w:eastAsiaTheme="minorEastAsia" w:cstheme="minorBidi"/>
        </w:rPr>
        <w:t xml:space="preserve"> </w:t>
      </w:r>
    </w:p>
    <w:p w14:paraId="5EB6F053" w14:textId="6460993A" w:rsidR="6A2DA604" w:rsidRPr="0007351C" w:rsidRDefault="3FADB5A9" w:rsidP="70134504">
      <w:pPr>
        <w:rPr>
          <w:rFonts w:eastAsiaTheme="minorEastAsia" w:cstheme="minorBidi"/>
        </w:rPr>
      </w:pPr>
      <w:r w:rsidRPr="0007351C">
        <w:rPr>
          <w:rFonts w:eastAsiaTheme="minorEastAsia" w:cstheme="minorBidi"/>
        </w:rPr>
        <w:t xml:space="preserve">Lorsque la thématique principale d’une dépense ne correspond à aucune </w:t>
      </w:r>
      <w:r w:rsidR="36930882" w:rsidRPr="0007351C">
        <w:rPr>
          <w:rFonts w:eastAsiaTheme="minorEastAsia" w:cstheme="minorBidi"/>
        </w:rPr>
        <w:t>des thématiques déjà</w:t>
      </w:r>
      <w:r w:rsidRPr="0007351C">
        <w:rPr>
          <w:rFonts w:eastAsiaTheme="minorEastAsia" w:cstheme="minorBidi"/>
        </w:rPr>
        <w:t xml:space="preserve"> identifiées</w:t>
      </w:r>
      <w:r w:rsidR="586CB739" w:rsidRPr="0007351C">
        <w:rPr>
          <w:rFonts w:eastAsiaTheme="minorEastAsia" w:cstheme="minorBidi"/>
        </w:rPr>
        <w:t xml:space="preserve"> mais ne justifie pas de créer une nouvelle thématique</w:t>
      </w:r>
      <w:r w:rsidRPr="0007351C">
        <w:rPr>
          <w:rFonts w:eastAsiaTheme="minorEastAsia" w:cstheme="minorBidi"/>
        </w:rPr>
        <w:t>, nous codons celle</w:t>
      </w:r>
      <w:r w:rsidR="5A541255" w:rsidRPr="0007351C">
        <w:rPr>
          <w:rFonts w:eastAsiaTheme="minorEastAsia" w:cstheme="minorBidi"/>
        </w:rPr>
        <w:t>-</w:t>
      </w:r>
      <w:r w:rsidRPr="0007351C">
        <w:rPr>
          <w:rFonts w:eastAsiaTheme="minorEastAsia" w:cstheme="minorBidi"/>
        </w:rPr>
        <w:t>ci en “</w:t>
      </w:r>
      <w:r w:rsidR="6288A49C" w:rsidRPr="6F8CCCD0">
        <w:rPr>
          <w:rFonts w:eastAsiaTheme="minorEastAsia" w:cstheme="minorBidi"/>
          <w:b/>
        </w:rPr>
        <w:t>A</w:t>
      </w:r>
      <w:r w:rsidR="36A58BA6" w:rsidRPr="6F8CCCD0">
        <w:rPr>
          <w:rFonts w:eastAsiaTheme="minorEastAsia" w:cstheme="minorBidi"/>
          <w:b/>
        </w:rPr>
        <w:t>UTRES</w:t>
      </w:r>
      <w:r w:rsidRPr="0007351C">
        <w:rPr>
          <w:rFonts w:eastAsiaTheme="minorEastAsia" w:cstheme="minorBidi"/>
        </w:rPr>
        <w:t>”</w:t>
      </w:r>
      <w:r w:rsidR="00D81716">
        <w:rPr>
          <w:rFonts w:eastAsiaTheme="minorEastAsia" w:cstheme="minorBidi"/>
        </w:rPr>
        <w:t>.</w:t>
      </w:r>
      <w:r w:rsidR="5265DC95" w:rsidRPr="0007351C">
        <w:rPr>
          <w:rFonts w:eastAsiaTheme="minorEastAsia" w:cstheme="minorBidi"/>
        </w:rPr>
        <w:t xml:space="preserve"> </w:t>
      </w:r>
    </w:p>
    <w:p w14:paraId="18947F87" w14:textId="4871CFF7" w:rsidR="1EE15876" w:rsidRPr="0007351C" w:rsidRDefault="1F115406" w:rsidP="1EE15876">
      <w:pPr>
        <w:rPr>
          <w:rFonts w:eastAsiaTheme="minorEastAsia" w:cstheme="minorBidi"/>
        </w:rPr>
      </w:pPr>
      <w:r w:rsidRPr="0007351C">
        <w:rPr>
          <w:rFonts w:eastAsiaTheme="minorEastAsia" w:cstheme="minorBidi"/>
        </w:rPr>
        <w:t>Enfin, si une dépense poursuit explicitement plusieurs thématiques, nous codons celle</w:t>
      </w:r>
      <w:r w:rsidR="2875FD5E" w:rsidRPr="0007351C">
        <w:rPr>
          <w:rFonts w:eastAsiaTheme="minorEastAsia" w:cstheme="minorBidi"/>
        </w:rPr>
        <w:t>-</w:t>
      </w:r>
      <w:r w:rsidRPr="0007351C">
        <w:rPr>
          <w:rFonts w:eastAsiaTheme="minorEastAsia" w:cstheme="minorBidi"/>
        </w:rPr>
        <w:t xml:space="preserve">ci </w:t>
      </w:r>
      <w:r w:rsidR="04CD6530" w:rsidRPr="0007351C">
        <w:rPr>
          <w:rFonts w:eastAsiaTheme="minorEastAsia" w:cstheme="minorBidi"/>
        </w:rPr>
        <w:t>en “</w:t>
      </w:r>
      <w:r w:rsidR="04CD6530" w:rsidRPr="6F8CCCD0">
        <w:rPr>
          <w:rFonts w:eastAsiaTheme="minorEastAsia" w:cstheme="minorBidi"/>
          <w:b/>
        </w:rPr>
        <w:t>MIXTE</w:t>
      </w:r>
      <w:r w:rsidR="04CD6530" w:rsidRPr="0007351C">
        <w:rPr>
          <w:rFonts w:eastAsiaTheme="minorEastAsia" w:cstheme="minorBidi"/>
        </w:rPr>
        <w:t>”.</w:t>
      </w:r>
      <w:r w:rsidRPr="0007351C">
        <w:rPr>
          <w:rFonts w:eastAsiaTheme="minorEastAsia" w:cstheme="minorBidi"/>
        </w:rPr>
        <w:t xml:space="preserve"> </w:t>
      </w:r>
    </w:p>
    <w:tbl>
      <w:tblPr>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785"/>
        <w:gridCol w:w="7845"/>
      </w:tblGrid>
      <w:tr w:rsidR="32162776" w14:paraId="419413E8" w14:textId="77777777" w:rsidTr="0058665B">
        <w:trPr>
          <w:trHeight w:val="285"/>
        </w:trPr>
        <w:tc>
          <w:tcPr>
            <w:tcW w:w="1785" w:type="dxa"/>
            <w:shd w:val="clear" w:color="auto" w:fill="000000" w:themeFill="text1"/>
            <w:vAlign w:val="bottom"/>
          </w:tcPr>
          <w:p w14:paraId="0B0F6892" w14:textId="6C38FBF6" w:rsidR="32162776" w:rsidRPr="006558B9" w:rsidRDefault="7FE42778" w:rsidP="1C6F2D72">
            <w:pPr>
              <w:spacing w:after="0"/>
            </w:pPr>
            <w:r w:rsidRPr="1C6F2D72">
              <w:rPr>
                <w:color w:val="FFFFFF" w:themeColor="background1"/>
              </w:rPr>
              <w:t>Code</w:t>
            </w:r>
          </w:p>
        </w:tc>
        <w:tc>
          <w:tcPr>
            <w:tcW w:w="7845" w:type="dxa"/>
            <w:shd w:val="clear" w:color="auto" w:fill="000000" w:themeFill="text1"/>
            <w:vAlign w:val="bottom"/>
          </w:tcPr>
          <w:p w14:paraId="497E681F" w14:textId="758B6F0C" w:rsidR="32162776" w:rsidRPr="006558B9" w:rsidRDefault="32162776" w:rsidP="006558B9">
            <w:pPr>
              <w:spacing w:after="0"/>
              <w:rPr>
                <w:color w:val="FFFFFF" w:themeColor="background1"/>
              </w:rPr>
            </w:pPr>
            <w:r w:rsidRPr="006558B9">
              <w:rPr>
                <w:color w:val="FFFFFF" w:themeColor="background1"/>
              </w:rPr>
              <w:t>Description</w:t>
            </w:r>
          </w:p>
        </w:tc>
      </w:tr>
      <w:tr w:rsidR="0058665B" w14:paraId="23CFAAD4" w14:textId="77777777" w:rsidTr="0058665B">
        <w:trPr>
          <w:trHeight w:val="285"/>
        </w:trPr>
        <w:tc>
          <w:tcPr>
            <w:tcW w:w="1785" w:type="dxa"/>
          </w:tcPr>
          <w:p w14:paraId="73F8322B" w14:textId="65C0D438" w:rsidR="0058665B" w:rsidRPr="006558B9" w:rsidRDefault="0058665B" w:rsidP="0058665B">
            <w:pPr>
              <w:spacing w:after="0"/>
              <w:jc w:val="left"/>
            </w:pPr>
            <w:r w:rsidRPr="00996D09">
              <w:t>ADMINMASA</w:t>
            </w:r>
          </w:p>
        </w:tc>
        <w:tc>
          <w:tcPr>
            <w:tcW w:w="7845" w:type="dxa"/>
          </w:tcPr>
          <w:p w14:paraId="3EEE3F93" w14:textId="0B2B1A3A" w:rsidR="0058665B" w:rsidRPr="006558B9" w:rsidRDefault="0058665B" w:rsidP="0058665B">
            <w:pPr>
              <w:spacing w:after="0"/>
            </w:pPr>
            <w:r w:rsidRPr="00996D09">
              <w:t>Dépenses liées à l'administration (dépenses de personnel, informatique, gestion immobilière, etc.) du ministère de l'Agriculture ou des organismes publics liés (ex : ASP, ODARC)</w:t>
            </w:r>
          </w:p>
        </w:tc>
      </w:tr>
      <w:tr w:rsidR="0058665B" w14:paraId="47970A4C" w14:textId="77777777" w:rsidTr="0058665B">
        <w:trPr>
          <w:trHeight w:val="285"/>
        </w:trPr>
        <w:tc>
          <w:tcPr>
            <w:tcW w:w="1785" w:type="dxa"/>
          </w:tcPr>
          <w:p w14:paraId="6110BCA8" w14:textId="1A24DD6A" w:rsidR="0058665B" w:rsidRPr="006558B9" w:rsidRDefault="0058665B" w:rsidP="0058665B">
            <w:pPr>
              <w:spacing w:after="0"/>
              <w:jc w:val="left"/>
            </w:pPr>
            <w:r w:rsidRPr="00996D09">
              <w:t>AEC</w:t>
            </w:r>
          </w:p>
        </w:tc>
        <w:tc>
          <w:tcPr>
            <w:tcW w:w="7845" w:type="dxa"/>
          </w:tcPr>
          <w:p w14:paraId="6115D87B" w14:textId="57AA0EBB" w:rsidR="0058665B" w:rsidRPr="006558B9" w:rsidRDefault="0058665B" w:rsidP="0058665B">
            <w:pPr>
              <w:spacing w:after="0"/>
            </w:pPr>
            <w:r w:rsidRPr="00996D09">
              <w:t>Dépenses de soutien aux pratiques agroécologiques non isolables (réduction des intrants chimiques, diversification des productions, infrastructures agrocécologiques -- dont haies, agroforesterie, … -- etc.) et au climat (atténuation et adaptation)</w:t>
            </w:r>
          </w:p>
        </w:tc>
      </w:tr>
      <w:tr w:rsidR="0058665B" w14:paraId="68576118" w14:textId="77777777" w:rsidTr="0058665B">
        <w:trPr>
          <w:trHeight w:val="285"/>
        </w:trPr>
        <w:tc>
          <w:tcPr>
            <w:tcW w:w="1785" w:type="dxa"/>
          </w:tcPr>
          <w:p w14:paraId="2139D665" w14:textId="5D2C3C46" w:rsidR="0058665B" w:rsidRPr="006558B9" w:rsidRDefault="0058665B" w:rsidP="0058665B">
            <w:pPr>
              <w:spacing w:after="0"/>
              <w:ind w:left="164"/>
              <w:jc w:val="left"/>
            </w:pPr>
            <w:r w:rsidRPr="00996D09">
              <w:t>AB</w:t>
            </w:r>
          </w:p>
        </w:tc>
        <w:tc>
          <w:tcPr>
            <w:tcW w:w="7845" w:type="dxa"/>
          </w:tcPr>
          <w:p w14:paraId="4BF407F3" w14:textId="7DD35C1D" w:rsidR="0058665B" w:rsidRPr="006558B9" w:rsidRDefault="0058665B" w:rsidP="0058665B">
            <w:pPr>
              <w:spacing w:after="0"/>
            </w:pPr>
            <w:r w:rsidRPr="00996D09">
              <w:t>Dépenses de soutien à l'agriculture biologique</w:t>
            </w:r>
          </w:p>
        </w:tc>
      </w:tr>
      <w:tr w:rsidR="0058665B" w14:paraId="2B570B09" w14:textId="77777777" w:rsidTr="0058665B">
        <w:trPr>
          <w:trHeight w:val="285"/>
        </w:trPr>
        <w:tc>
          <w:tcPr>
            <w:tcW w:w="1785" w:type="dxa"/>
          </w:tcPr>
          <w:p w14:paraId="1779C7B9" w14:textId="7D4899B2" w:rsidR="0058665B" w:rsidRPr="006558B9" w:rsidRDefault="0058665B" w:rsidP="0058665B">
            <w:pPr>
              <w:spacing w:after="0"/>
              <w:ind w:left="164"/>
              <w:jc w:val="left"/>
            </w:pPr>
            <w:r w:rsidRPr="00996D09">
              <w:t>HVE</w:t>
            </w:r>
          </w:p>
        </w:tc>
        <w:tc>
          <w:tcPr>
            <w:tcW w:w="7845" w:type="dxa"/>
          </w:tcPr>
          <w:p w14:paraId="15506450" w14:textId="7B7C0327" w:rsidR="0058665B" w:rsidRPr="006558B9" w:rsidRDefault="0058665B" w:rsidP="0058665B">
            <w:pPr>
              <w:spacing w:after="0"/>
            </w:pPr>
            <w:r w:rsidRPr="00996D09">
              <w:t>Dépenses de soutien au label Haute valeur environnementale</w:t>
            </w:r>
          </w:p>
        </w:tc>
      </w:tr>
      <w:tr w:rsidR="0058665B" w14:paraId="48A82817" w14:textId="77777777" w:rsidTr="0058665B">
        <w:trPr>
          <w:trHeight w:val="285"/>
        </w:trPr>
        <w:tc>
          <w:tcPr>
            <w:tcW w:w="1785" w:type="dxa"/>
          </w:tcPr>
          <w:p w14:paraId="64746AE4" w14:textId="7A121E6E" w:rsidR="0058665B" w:rsidRPr="006558B9" w:rsidRDefault="0058665B" w:rsidP="0058665B">
            <w:pPr>
              <w:spacing w:after="0"/>
              <w:ind w:left="164"/>
              <w:jc w:val="left"/>
            </w:pPr>
            <w:r w:rsidRPr="00996D09">
              <w:t>IAE</w:t>
            </w:r>
          </w:p>
        </w:tc>
        <w:tc>
          <w:tcPr>
            <w:tcW w:w="7845" w:type="dxa"/>
          </w:tcPr>
          <w:p w14:paraId="3DEB4F51" w14:textId="6CD076C3" w:rsidR="0058665B" w:rsidRPr="006558B9" w:rsidRDefault="0058665B" w:rsidP="0058665B">
            <w:pPr>
              <w:spacing w:after="0"/>
            </w:pPr>
            <w:r w:rsidRPr="00996D09">
              <w:t>Dépenses en faveur du développement d'infrastructures agroécologiques (haies, agroforesterie, terres boisées, etc.)</w:t>
            </w:r>
          </w:p>
        </w:tc>
      </w:tr>
      <w:tr w:rsidR="0058665B" w14:paraId="76C6FF2A" w14:textId="77777777" w:rsidTr="0058665B">
        <w:trPr>
          <w:trHeight w:val="285"/>
        </w:trPr>
        <w:tc>
          <w:tcPr>
            <w:tcW w:w="1785" w:type="dxa"/>
          </w:tcPr>
          <w:p w14:paraId="36DD9936" w14:textId="1CC008AD" w:rsidR="0058665B" w:rsidRPr="006558B9" w:rsidRDefault="0058665B" w:rsidP="0058665B">
            <w:pPr>
              <w:spacing w:after="0"/>
              <w:ind w:left="164"/>
              <w:jc w:val="left"/>
            </w:pPr>
            <w:r w:rsidRPr="00996D09">
              <w:t>REDUCPHYTO</w:t>
            </w:r>
          </w:p>
        </w:tc>
        <w:tc>
          <w:tcPr>
            <w:tcW w:w="7845" w:type="dxa"/>
          </w:tcPr>
          <w:p w14:paraId="531C83B7" w14:textId="07782855" w:rsidR="0058665B" w:rsidRPr="006558B9" w:rsidRDefault="0058665B" w:rsidP="0058665B">
            <w:pPr>
              <w:spacing w:after="0"/>
            </w:pPr>
            <w:r w:rsidRPr="00996D09">
              <w:t>Dépenses visant à réduire l'usage des produits phytosanitaires et des antibiotiques</w:t>
            </w:r>
          </w:p>
        </w:tc>
      </w:tr>
      <w:tr w:rsidR="0058665B" w14:paraId="13781C5B" w14:textId="77777777" w:rsidTr="0058665B">
        <w:trPr>
          <w:trHeight w:val="285"/>
        </w:trPr>
        <w:tc>
          <w:tcPr>
            <w:tcW w:w="1785" w:type="dxa"/>
          </w:tcPr>
          <w:p w14:paraId="6600C340" w14:textId="25CBE1BD" w:rsidR="0058665B" w:rsidRPr="006558B9" w:rsidRDefault="0058665B" w:rsidP="0058665B">
            <w:pPr>
              <w:spacing w:after="0"/>
              <w:ind w:left="164"/>
              <w:jc w:val="left"/>
            </w:pPr>
            <w:r w:rsidRPr="00996D09">
              <w:t>RESSOURCES</w:t>
            </w:r>
          </w:p>
        </w:tc>
        <w:tc>
          <w:tcPr>
            <w:tcW w:w="7845" w:type="dxa"/>
          </w:tcPr>
          <w:p w14:paraId="050E7D25" w14:textId="25FBCE9D" w:rsidR="0058665B" w:rsidRPr="006558B9" w:rsidRDefault="0058665B" w:rsidP="0058665B">
            <w:pPr>
              <w:spacing w:after="0"/>
            </w:pPr>
            <w:r w:rsidRPr="00996D09">
              <w:t>Dépenses visant à rationnaliser l'utilisation des ressources (eau, halieutiques)</w:t>
            </w:r>
          </w:p>
        </w:tc>
      </w:tr>
      <w:tr w:rsidR="0058665B" w14:paraId="42C6A14F" w14:textId="77777777" w:rsidTr="0058665B">
        <w:trPr>
          <w:trHeight w:val="285"/>
        </w:trPr>
        <w:tc>
          <w:tcPr>
            <w:tcW w:w="1785" w:type="dxa"/>
          </w:tcPr>
          <w:p w14:paraId="5C0BAFC2" w14:textId="4875EC4C" w:rsidR="0058665B" w:rsidRPr="006558B9" w:rsidRDefault="0058665B" w:rsidP="0058665B">
            <w:pPr>
              <w:spacing w:after="0"/>
              <w:ind w:left="164"/>
              <w:jc w:val="left"/>
            </w:pPr>
            <w:r w:rsidRPr="00996D09">
              <w:t>TRANSALIM</w:t>
            </w:r>
          </w:p>
        </w:tc>
        <w:tc>
          <w:tcPr>
            <w:tcW w:w="7845" w:type="dxa"/>
          </w:tcPr>
          <w:p w14:paraId="34B5F122" w14:textId="15B80C56" w:rsidR="0058665B" w:rsidRPr="006558B9" w:rsidRDefault="0058665B" w:rsidP="0058665B">
            <w:pPr>
              <w:spacing w:after="0"/>
            </w:pPr>
            <w:r w:rsidRPr="00996D09">
              <w:t>Dépenses liées à une transition alimentaire (transition protéique, réduction du gaspillage) sans soutien à la consommation alimentaire des ménages : information et recommandations nutritionnelles, lutte contre le gaspillage, éducation à l'alimentation, etc.</w:t>
            </w:r>
          </w:p>
        </w:tc>
      </w:tr>
      <w:tr w:rsidR="0058665B" w14:paraId="1862B394" w14:textId="77777777" w:rsidTr="0058665B">
        <w:trPr>
          <w:trHeight w:val="285"/>
        </w:trPr>
        <w:tc>
          <w:tcPr>
            <w:tcW w:w="1785" w:type="dxa"/>
          </w:tcPr>
          <w:p w14:paraId="3AD0DCAC" w14:textId="25A76564" w:rsidR="0058665B" w:rsidRPr="006558B9" w:rsidRDefault="0058665B" w:rsidP="0058665B">
            <w:pPr>
              <w:spacing w:after="0"/>
              <w:ind w:left="164"/>
              <w:jc w:val="left"/>
            </w:pPr>
            <w:r w:rsidRPr="00996D09">
              <w:t>ATTENCC</w:t>
            </w:r>
          </w:p>
        </w:tc>
        <w:tc>
          <w:tcPr>
            <w:tcW w:w="7845" w:type="dxa"/>
          </w:tcPr>
          <w:p w14:paraId="73386042" w14:textId="15F659AD" w:rsidR="0058665B" w:rsidRPr="006558B9" w:rsidRDefault="0058665B" w:rsidP="0058665B">
            <w:pPr>
              <w:spacing w:after="0"/>
            </w:pPr>
            <w:r w:rsidRPr="00996D09">
              <w:t>Dépenses en faveur de l'atténuation du changement climatique (bilans carbone, efficacité énergétique, etc.)</w:t>
            </w:r>
          </w:p>
        </w:tc>
      </w:tr>
      <w:tr w:rsidR="0058665B" w14:paraId="5803FD05" w14:textId="77777777" w:rsidTr="0058665B">
        <w:trPr>
          <w:trHeight w:val="285"/>
        </w:trPr>
        <w:tc>
          <w:tcPr>
            <w:tcW w:w="1785" w:type="dxa"/>
          </w:tcPr>
          <w:p w14:paraId="5A494464" w14:textId="3B8BE599" w:rsidR="0058665B" w:rsidRPr="006558B9" w:rsidRDefault="0058665B" w:rsidP="0058665B">
            <w:pPr>
              <w:spacing w:after="0"/>
              <w:ind w:left="164"/>
              <w:jc w:val="left"/>
            </w:pPr>
            <w:r w:rsidRPr="00996D09">
              <w:t>ADAPTCC</w:t>
            </w:r>
          </w:p>
        </w:tc>
        <w:tc>
          <w:tcPr>
            <w:tcW w:w="7845" w:type="dxa"/>
          </w:tcPr>
          <w:p w14:paraId="1EFA079D" w14:textId="28E4AC0C" w:rsidR="0058665B" w:rsidRPr="006558B9" w:rsidRDefault="0058665B" w:rsidP="0058665B">
            <w:pPr>
              <w:spacing w:after="0"/>
            </w:pPr>
            <w:r w:rsidRPr="00996D09">
              <w:t>Dépenses en faveur de l'adaptation au changement climatique</w:t>
            </w:r>
          </w:p>
        </w:tc>
      </w:tr>
      <w:tr w:rsidR="0058665B" w14:paraId="225779C5" w14:textId="77777777" w:rsidTr="0058665B">
        <w:trPr>
          <w:trHeight w:val="285"/>
        </w:trPr>
        <w:tc>
          <w:tcPr>
            <w:tcW w:w="1785" w:type="dxa"/>
          </w:tcPr>
          <w:p w14:paraId="11A713B6" w14:textId="5DEB2333" w:rsidR="0058665B" w:rsidRPr="006558B9" w:rsidRDefault="0058665B" w:rsidP="0058665B">
            <w:pPr>
              <w:spacing w:after="0"/>
              <w:ind w:left="164"/>
              <w:jc w:val="left"/>
            </w:pPr>
            <w:r w:rsidRPr="00996D09">
              <w:t>PRODENER</w:t>
            </w:r>
          </w:p>
        </w:tc>
        <w:tc>
          <w:tcPr>
            <w:tcW w:w="7845" w:type="dxa"/>
          </w:tcPr>
          <w:p w14:paraId="05A73228" w14:textId="7328A11D" w:rsidR="0058665B" w:rsidRPr="006558B9" w:rsidRDefault="0058665B" w:rsidP="0058665B">
            <w:pPr>
              <w:spacing w:after="0"/>
            </w:pPr>
            <w:r w:rsidRPr="00996D09">
              <w:t>Dépenses liées à la production d'énergies renouvelables dans les exploitations</w:t>
            </w:r>
          </w:p>
        </w:tc>
      </w:tr>
      <w:tr w:rsidR="0058665B" w14:paraId="16A1BBDA" w14:textId="77777777" w:rsidTr="0058665B">
        <w:trPr>
          <w:trHeight w:val="285"/>
        </w:trPr>
        <w:tc>
          <w:tcPr>
            <w:tcW w:w="1785" w:type="dxa"/>
          </w:tcPr>
          <w:p w14:paraId="767CCD27" w14:textId="0C57E4B0" w:rsidR="0058665B" w:rsidRPr="006558B9" w:rsidRDefault="0058665B" w:rsidP="0058665B">
            <w:pPr>
              <w:spacing w:after="0"/>
              <w:jc w:val="left"/>
            </w:pPr>
            <w:r w:rsidRPr="00996D09">
              <w:t>CONSOENER</w:t>
            </w:r>
          </w:p>
        </w:tc>
        <w:tc>
          <w:tcPr>
            <w:tcW w:w="7845" w:type="dxa"/>
          </w:tcPr>
          <w:p w14:paraId="060B040A" w14:textId="7811812C" w:rsidR="0058665B" w:rsidRPr="006558B9" w:rsidRDefault="0058665B" w:rsidP="0058665B">
            <w:pPr>
              <w:spacing w:after="0"/>
            </w:pPr>
            <w:r w:rsidRPr="00996D09">
              <w:t>Dépenses de soutien à la consommation d'énergies fossiles</w:t>
            </w:r>
          </w:p>
        </w:tc>
      </w:tr>
      <w:tr w:rsidR="0058665B" w14:paraId="77918286" w14:textId="77777777" w:rsidTr="0058665B">
        <w:trPr>
          <w:trHeight w:val="285"/>
        </w:trPr>
        <w:tc>
          <w:tcPr>
            <w:tcW w:w="1785" w:type="dxa"/>
          </w:tcPr>
          <w:p w14:paraId="14AC3C1A" w14:textId="4B1F3FC9" w:rsidR="0058665B" w:rsidRPr="006558B9" w:rsidRDefault="0058665B" w:rsidP="0058665B">
            <w:pPr>
              <w:spacing w:after="0"/>
              <w:jc w:val="left"/>
            </w:pPr>
            <w:r w:rsidRPr="00996D09">
              <w:t>SOUTPROD</w:t>
            </w:r>
          </w:p>
        </w:tc>
        <w:tc>
          <w:tcPr>
            <w:tcW w:w="7845" w:type="dxa"/>
          </w:tcPr>
          <w:p w14:paraId="04BBCB58" w14:textId="6B9F1652" w:rsidR="0058665B" w:rsidRPr="006558B9" w:rsidRDefault="0058665B" w:rsidP="0058665B">
            <w:pPr>
              <w:spacing w:after="0"/>
            </w:pPr>
            <w:r w:rsidRPr="00996D09">
              <w:t>Dépenses de soutien à des volumes de production ou à la production d'une filière</w:t>
            </w:r>
          </w:p>
        </w:tc>
      </w:tr>
      <w:tr w:rsidR="0058665B" w14:paraId="137F57E5" w14:textId="77777777" w:rsidTr="0058665B">
        <w:trPr>
          <w:trHeight w:val="285"/>
        </w:trPr>
        <w:tc>
          <w:tcPr>
            <w:tcW w:w="1785" w:type="dxa"/>
          </w:tcPr>
          <w:p w14:paraId="4837FE4C" w14:textId="0E9E6CC9" w:rsidR="0058665B" w:rsidRPr="006558B9" w:rsidRDefault="0058665B" w:rsidP="0058665B">
            <w:pPr>
              <w:spacing w:after="0"/>
              <w:jc w:val="left"/>
            </w:pPr>
            <w:r w:rsidRPr="00996D09">
              <w:t>CONSOALIM</w:t>
            </w:r>
          </w:p>
        </w:tc>
        <w:tc>
          <w:tcPr>
            <w:tcW w:w="7845" w:type="dxa"/>
          </w:tcPr>
          <w:p w14:paraId="0B23AA82" w14:textId="571325AA" w:rsidR="0058665B" w:rsidRPr="006558B9" w:rsidRDefault="0058665B" w:rsidP="0058665B">
            <w:pPr>
              <w:spacing w:after="0"/>
            </w:pPr>
            <w:r w:rsidRPr="00996D09">
              <w:t>Dépenses de soutien à la consommation alimentaire des ménages : aide alimentaire, titre restaurants, cantines, etc.</w:t>
            </w:r>
          </w:p>
        </w:tc>
      </w:tr>
      <w:tr w:rsidR="0058665B" w14:paraId="40388D4A" w14:textId="77777777" w:rsidTr="0058665B">
        <w:trPr>
          <w:trHeight w:val="285"/>
        </w:trPr>
        <w:tc>
          <w:tcPr>
            <w:tcW w:w="1785" w:type="dxa"/>
          </w:tcPr>
          <w:p w14:paraId="323BDF62" w14:textId="448FA9AF" w:rsidR="0058665B" w:rsidRPr="006558B9" w:rsidRDefault="0058665B" w:rsidP="0058665B">
            <w:pPr>
              <w:spacing w:after="0"/>
              <w:jc w:val="left"/>
            </w:pPr>
            <w:r w:rsidRPr="00996D09">
              <w:t>BEA</w:t>
            </w:r>
          </w:p>
        </w:tc>
        <w:tc>
          <w:tcPr>
            <w:tcW w:w="7845" w:type="dxa"/>
          </w:tcPr>
          <w:p w14:paraId="10F51384" w14:textId="40EAC998" w:rsidR="0058665B" w:rsidRPr="006558B9" w:rsidRDefault="0058665B" w:rsidP="0058665B">
            <w:pPr>
              <w:spacing w:after="0"/>
            </w:pPr>
            <w:r w:rsidRPr="00996D09">
              <w:t>Dépenses liées au bien-être animal</w:t>
            </w:r>
          </w:p>
        </w:tc>
      </w:tr>
      <w:tr w:rsidR="0058665B" w14:paraId="63025160" w14:textId="77777777" w:rsidTr="0058665B">
        <w:trPr>
          <w:trHeight w:val="285"/>
        </w:trPr>
        <w:tc>
          <w:tcPr>
            <w:tcW w:w="1785" w:type="dxa"/>
          </w:tcPr>
          <w:p w14:paraId="7909CD06" w14:textId="05B7A9BB" w:rsidR="0058665B" w:rsidRPr="006558B9" w:rsidRDefault="0058665B" w:rsidP="0058665B">
            <w:pPr>
              <w:spacing w:after="0"/>
              <w:jc w:val="left"/>
            </w:pPr>
            <w:r w:rsidRPr="00996D09">
              <w:t>CRISES</w:t>
            </w:r>
          </w:p>
        </w:tc>
        <w:tc>
          <w:tcPr>
            <w:tcW w:w="7845" w:type="dxa"/>
          </w:tcPr>
          <w:p w14:paraId="39CF97B1" w14:textId="2F2B8145" w:rsidR="0058665B" w:rsidRPr="006558B9" w:rsidRDefault="0058665B" w:rsidP="0058665B">
            <w:pPr>
              <w:spacing w:after="0"/>
            </w:pPr>
            <w:r w:rsidRPr="00996D09">
              <w:t>Fonds préservés (prévisionnel) ou décaissés (exécuté) pour indemniser les acteurs économiques en cas d'éventuelles crises</w:t>
            </w:r>
          </w:p>
        </w:tc>
      </w:tr>
      <w:tr w:rsidR="0058665B" w14:paraId="6047C487" w14:textId="77777777" w:rsidTr="0058665B">
        <w:trPr>
          <w:trHeight w:val="285"/>
        </w:trPr>
        <w:tc>
          <w:tcPr>
            <w:tcW w:w="1785" w:type="dxa"/>
          </w:tcPr>
          <w:p w14:paraId="299C92C0" w14:textId="4553064E" w:rsidR="0058665B" w:rsidRPr="006558B9" w:rsidRDefault="0058665B" w:rsidP="0058665B">
            <w:pPr>
              <w:spacing w:after="0"/>
              <w:jc w:val="left"/>
            </w:pPr>
            <w:r w:rsidRPr="00996D09">
              <w:lastRenderedPageBreak/>
              <w:t>ENSFORM</w:t>
            </w:r>
          </w:p>
        </w:tc>
        <w:tc>
          <w:tcPr>
            <w:tcW w:w="7845" w:type="dxa"/>
          </w:tcPr>
          <w:p w14:paraId="5D574686" w14:textId="4AE3AA59" w:rsidR="0058665B" w:rsidRPr="006558B9" w:rsidRDefault="0058665B" w:rsidP="0058665B">
            <w:pPr>
              <w:spacing w:after="0"/>
            </w:pPr>
            <w:r w:rsidRPr="00996D09">
              <w:t>Dépenses liées à l'enseignement et la formation agricole</w:t>
            </w:r>
          </w:p>
        </w:tc>
      </w:tr>
      <w:tr w:rsidR="0058665B" w14:paraId="5A34F0B3" w14:textId="77777777" w:rsidTr="0058665B">
        <w:trPr>
          <w:trHeight w:val="285"/>
        </w:trPr>
        <w:tc>
          <w:tcPr>
            <w:tcW w:w="1785" w:type="dxa"/>
          </w:tcPr>
          <w:p w14:paraId="5E1406DF" w14:textId="0D8658D5" w:rsidR="0058665B" w:rsidRPr="006558B9" w:rsidRDefault="0058665B" w:rsidP="0058665B">
            <w:pPr>
              <w:spacing w:after="0"/>
              <w:jc w:val="left"/>
            </w:pPr>
            <w:r w:rsidRPr="00996D09">
              <w:t>FONCIER</w:t>
            </w:r>
          </w:p>
        </w:tc>
        <w:tc>
          <w:tcPr>
            <w:tcW w:w="7845" w:type="dxa"/>
          </w:tcPr>
          <w:p w14:paraId="21B8522A" w14:textId="10EDCE5A" w:rsidR="0058665B" w:rsidRPr="006558B9" w:rsidRDefault="0058665B" w:rsidP="0058665B">
            <w:pPr>
              <w:spacing w:after="0"/>
            </w:pPr>
            <w:r w:rsidRPr="00996D09">
              <w:t>Dépenses liées au partage et à la transmission du foncier agricole</w:t>
            </w:r>
          </w:p>
        </w:tc>
      </w:tr>
      <w:tr w:rsidR="0058665B" w14:paraId="3EE93C09" w14:textId="77777777" w:rsidTr="0058665B">
        <w:trPr>
          <w:trHeight w:val="285"/>
        </w:trPr>
        <w:tc>
          <w:tcPr>
            <w:tcW w:w="1785" w:type="dxa"/>
          </w:tcPr>
          <w:p w14:paraId="114F1C56" w14:textId="6644037B" w:rsidR="0058665B" w:rsidRPr="006558B9" w:rsidRDefault="0058665B" w:rsidP="0058665B">
            <w:pPr>
              <w:spacing w:after="0"/>
              <w:jc w:val="left"/>
            </w:pPr>
            <w:r w:rsidRPr="00996D09">
              <w:t>INSTALL</w:t>
            </w:r>
          </w:p>
        </w:tc>
        <w:tc>
          <w:tcPr>
            <w:tcW w:w="7845" w:type="dxa"/>
          </w:tcPr>
          <w:p w14:paraId="17DC8BC3" w14:textId="5A1E9A17" w:rsidR="0058665B" w:rsidRPr="006558B9" w:rsidRDefault="0058665B" w:rsidP="0058665B">
            <w:pPr>
              <w:spacing w:after="0"/>
            </w:pPr>
            <w:r w:rsidRPr="00996D09">
              <w:t>Dépenses de soutien à l'installation des nouveaux agriculteurs</w:t>
            </w:r>
          </w:p>
        </w:tc>
      </w:tr>
      <w:tr w:rsidR="0058665B" w14:paraId="6541FE03" w14:textId="77777777" w:rsidTr="0058665B">
        <w:trPr>
          <w:trHeight w:val="285"/>
        </w:trPr>
        <w:tc>
          <w:tcPr>
            <w:tcW w:w="1785" w:type="dxa"/>
          </w:tcPr>
          <w:p w14:paraId="39002102" w14:textId="1CCCC125" w:rsidR="0058665B" w:rsidRPr="006558B9" w:rsidRDefault="0058665B" w:rsidP="0058665B">
            <w:pPr>
              <w:spacing w:after="0"/>
              <w:jc w:val="left"/>
            </w:pPr>
            <w:r w:rsidRPr="00996D09">
              <w:t>SANTEANIM</w:t>
            </w:r>
          </w:p>
        </w:tc>
        <w:tc>
          <w:tcPr>
            <w:tcW w:w="7845" w:type="dxa"/>
          </w:tcPr>
          <w:p w14:paraId="2DAFFDA8" w14:textId="70DFA304" w:rsidR="0058665B" w:rsidRPr="006558B9" w:rsidRDefault="0058665B" w:rsidP="0058665B">
            <w:pPr>
              <w:spacing w:after="0"/>
            </w:pPr>
            <w:r w:rsidRPr="00996D09">
              <w:t>Dépenses liées à la santé des animaux dans les élevages (conchyliculture incluse), abattoirs inclus</w:t>
            </w:r>
          </w:p>
        </w:tc>
      </w:tr>
      <w:tr w:rsidR="0058665B" w14:paraId="58B71406" w14:textId="77777777" w:rsidTr="0058665B">
        <w:trPr>
          <w:trHeight w:val="285"/>
        </w:trPr>
        <w:tc>
          <w:tcPr>
            <w:tcW w:w="1785" w:type="dxa"/>
          </w:tcPr>
          <w:p w14:paraId="438D4387" w14:textId="4B6A1266" w:rsidR="0058665B" w:rsidRPr="006558B9" w:rsidRDefault="0058665B" w:rsidP="0058665B">
            <w:pPr>
              <w:spacing w:after="0"/>
              <w:jc w:val="left"/>
            </w:pPr>
            <w:r w:rsidRPr="00996D09">
              <w:t>SANTEVEGE</w:t>
            </w:r>
          </w:p>
        </w:tc>
        <w:tc>
          <w:tcPr>
            <w:tcW w:w="7845" w:type="dxa"/>
          </w:tcPr>
          <w:p w14:paraId="6F35503E" w14:textId="160B3319" w:rsidR="0058665B" w:rsidRPr="006558B9" w:rsidRDefault="0058665B" w:rsidP="0058665B">
            <w:pPr>
              <w:spacing w:after="0"/>
            </w:pPr>
            <w:r w:rsidRPr="00996D09">
              <w:t>Dépenses liées à la santé des végétaux pendant leur phase de croissance et de stockage sous forme brute après récolte</w:t>
            </w:r>
          </w:p>
        </w:tc>
      </w:tr>
      <w:tr w:rsidR="0058665B" w14:paraId="0FEA1765" w14:textId="77777777" w:rsidTr="0058665B">
        <w:trPr>
          <w:trHeight w:val="285"/>
        </w:trPr>
        <w:tc>
          <w:tcPr>
            <w:tcW w:w="1785" w:type="dxa"/>
          </w:tcPr>
          <w:p w14:paraId="59CD982E" w14:textId="02B30687" w:rsidR="0058665B" w:rsidRPr="006558B9" w:rsidRDefault="0058665B" w:rsidP="0058665B">
            <w:pPr>
              <w:spacing w:after="0"/>
              <w:jc w:val="left"/>
            </w:pPr>
            <w:r w:rsidRPr="00996D09">
              <w:t>SIQO</w:t>
            </w:r>
          </w:p>
        </w:tc>
        <w:tc>
          <w:tcPr>
            <w:tcW w:w="7845" w:type="dxa"/>
          </w:tcPr>
          <w:p w14:paraId="3FAB3F58" w14:textId="1F03F980" w:rsidR="0058665B" w:rsidRPr="006558B9" w:rsidRDefault="0058665B" w:rsidP="0058665B">
            <w:pPr>
              <w:spacing w:after="0"/>
            </w:pPr>
            <w:r w:rsidRPr="00996D09">
              <w:t>Dépenses de soutien aux produits sous signe de qualité (Label Rouge, AOP, IGP, etc.)</w:t>
            </w:r>
          </w:p>
        </w:tc>
      </w:tr>
      <w:tr w:rsidR="0058665B" w14:paraId="0D0E61B5" w14:textId="77777777" w:rsidTr="0058665B">
        <w:trPr>
          <w:trHeight w:val="285"/>
        </w:trPr>
        <w:tc>
          <w:tcPr>
            <w:tcW w:w="1785" w:type="dxa"/>
          </w:tcPr>
          <w:p w14:paraId="75E7E431" w14:textId="426DF77E" w:rsidR="0058665B" w:rsidRPr="006558B9" w:rsidRDefault="0058665B" w:rsidP="0058665B">
            <w:pPr>
              <w:spacing w:after="0"/>
              <w:jc w:val="left"/>
            </w:pPr>
            <w:r w:rsidRPr="00996D09">
              <w:t>AUTRES</w:t>
            </w:r>
          </w:p>
        </w:tc>
        <w:tc>
          <w:tcPr>
            <w:tcW w:w="7845" w:type="dxa"/>
          </w:tcPr>
          <w:p w14:paraId="0BE7DBDD" w14:textId="496D55BF" w:rsidR="0058665B" w:rsidRPr="006558B9" w:rsidRDefault="0058665B" w:rsidP="0058665B">
            <w:pPr>
              <w:spacing w:after="0"/>
            </w:pPr>
            <w:r w:rsidRPr="00996D09">
              <w:t>Autres dépenses</w:t>
            </w:r>
          </w:p>
        </w:tc>
      </w:tr>
      <w:tr w:rsidR="0058665B" w14:paraId="0E6DD919" w14:textId="77777777" w:rsidTr="0058665B">
        <w:trPr>
          <w:trHeight w:val="285"/>
        </w:trPr>
        <w:tc>
          <w:tcPr>
            <w:tcW w:w="1785" w:type="dxa"/>
          </w:tcPr>
          <w:p w14:paraId="341DC148" w14:textId="69620400" w:rsidR="0058665B" w:rsidRPr="006558B9" w:rsidRDefault="0058665B" w:rsidP="0058665B">
            <w:pPr>
              <w:spacing w:after="0"/>
              <w:jc w:val="left"/>
            </w:pPr>
            <w:r w:rsidRPr="00996D09">
              <w:t>MIXTE</w:t>
            </w:r>
          </w:p>
        </w:tc>
        <w:tc>
          <w:tcPr>
            <w:tcW w:w="7845" w:type="dxa"/>
          </w:tcPr>
          <w:p w14:paraId="00F300CF" w14:textId="71C86DCF" w:rsidR="0058665B" w:rsidRPr="006558B9" w:rsidRDefault="0058665B" w:rsidP="0058665B">
            <w:pPr>
              <w:spacing w:after="0"/>
            </w:pPr>
            <w:r w:rsidRPr="00996D09">
              <w:t>Dépenses mixtes, visant plusieurs des thématiques</w:t>
            </w:r>
          </w:p>
        </w:tc>
      </w:tr>
      <w:tr w:rsidR="0058665B" w14:paraId="02D04204" w14:textId="77777777" w:rsidTr="0058665B">
        <w:trPr>
          <w:trHeight w:val="285"/>
        </w:trPr>
        <w:tc>
          <w:tcPr>
            <w:tcW w:w="1785" w:type="dxa"/>
          </w:tcPr>
          <w:p w14:paraId="1E39574D" w14:textId="20421A1F" w:rsidR="0058665B" w:rsidRPr="006558B9" w:rsidRDefault="0058665B" w:rsidP="0058665B">
            <w:pPr>
              <w:spacing w:after="0"/>
              <w:jc w:val="left"/>
            </w:pPr>
            <w:r w:rsidRPr="00996D09">
              <w:t>COMPET</w:t>
            </w:r>
          </w:p>
        </w:tc>
        <w:tc>
          <w:tcPr>
            <w:tcW w:w="7845" w:type="dxa"/>
          </w:tcPr>
          <w:p w14:paraId="14C51E75" w14:textId="0D75C59E" w:rsidR="0058665B" w:rsidRPr="006558B9" w:rsidRDefault="0058665B" w:rsidP="0058665B">
            <w:pPr>
              <w:spacing w:after="0"/>
            </w:pPr>
            <w:r w:rsidRPr="00996D09">
              <w:t>Dépenses destinées à améliorer la compétitivité ou la performance économique des entreprises</w:t>
            </w:r>
          </w:p>
        </w:tc>
      </w:tr>
      <w:tr w:rsidR="0058665B" w14:paraId="5D7F11A3" w14:textId="77777777" w:rsidTr="0058665B">
        <w:trPr>
          <w:trHeight w:val="285"/>
        </w:trPr>
        <w:tc>
          <w:tcPr>
            <w:tcW w:w="1785" w:type="dxa"/>
          </w:tcPr>
          <w:p w14:paraId="580DBEF3" w14:textId="5B771C97" w:rsidR="0058665B" w:rsidRPr="006558B9" w:rsidRDefault="0058665B" w:rsidP="0058665B">
            <w:pPr>
              <w:spacing w:after="0"/>
              <w:jc w:val="left"/>
            </w:pPr>
            <w:r w:rsidRPr="00996D09">
              <w:t>CONTNAT</w:t>
            </w:r>
          </w:p>
        </w:tc>
        <w:tc>
          <w:tcPr>
            <w:tcW w:w="7845" w:type="dxa"/>
          </w:tcPr>
          <w:p w14:paraId="0B66307D" w14:textId="61B3712D" w:rsidR="0058665B" w:rsidRPr="006558B9" w:rsidRDefault="0058665B" w:rsidP="0058665B">
            <w:pPr>
              <w:spacing w:after="0"/>
            </w:pPr>
            <w:r w:rsidRPr="00996D09">
              <w:t>Dépenses de soutiens spécifiques aux exploitations en situation de contraintes naturelles</w:t>
            </w:r>
          </w:p>
        </w:tc>
      </w:tr>
      <w:tr w:rsidR="0058665B" w14:paraId="087AB1B0" w14:textId="77777777" w:rsidTr="0058665B">
        <w:trPr>
          <w:trHeight w:val="285"/>
        </w:trPr>
        <w:tc>
          <w:tcPr>
            <w:tcW w:w="1785" w:type="dxa"/>
          </w:tcPr>
          <w:p w14:paraId="59A79A86" w14:textId="5B8B57A8" w:rsidR="0058665B" w:rsidRPr="006558B9" w:rsidRDefault="0058665B" w:rsidP="0058665B">
            <w:pPr>
              <w:spacing w:after="0"/>
              <w:jc w:val="left"/>
            </w:pPr>
            <w:r w:rsidRPr="00996D09">
              <w:t>EMPLOI</w:t>
            </w:r>
          </w:p>
        </w:tc>
        <w:tc>
          <w:tcPr>
            <w:tcW w:w="7845" w:type="dxa"/>
          </w:tcPr>
          <w:p w14:paraId="54C16F56" w14:textId="478FE225" w:rsidR="0058665B" w:rsidRPr="006558B9" w:rsidRDefault="0058665B" w:rsidP="0058665B">
            <w:pPr>
              <w:spacing w:after="0"/>
            </w:pPr>
            <w:r w:rsidRPr="00996D09">
              <w:t>Dépenses liées à l'insertion professionnelle (indépendamment d'enjeu de compétitivité du coût de la main d'œuvre)</w:t>
            </w:r>
          </w:p>
        </w:tc>
      </w:tr>
      <w:tr w:rsidR="0058665B" w14:paraId="03395EAD" w14:textId="77777777" w:rsidTr="0058665B">
        <w:trPr>
          <w:trHeight w:val="285"/>
        </w:trPr>
        <w:tc>
          <w:tcPr>
            <w:tcW w:w="1785" w:type="dxa"/>
          </w:tcPr>
          <w:p w14:paraId="4AC1E3A9" w14:textId="361AA1DC" w:rsidR="0058665B" w:rsidRPr="006558B9" w:rsidRDefault="0058665B" w:rsidP="0058665B">
            <w:pPr>
              <w:spacing w:after="0"/>
              <w:jc w:val="left"/>
            </w:pPr>
            <w:r w:rsidRPr="00996D09">
              <w:t>INTERNAT</w:t>
            </w:r>
          </w:p>
        </w:tc>
        <w:tc>
          <w:tcPr>
            <w:tcW w:w="7845" w:type="dxa"/>
          </w:tcPr>
          <w:p w14:paraId="151FF476" w14:textId="0A32E52C" w:rsidR="0058665B" w:rsidRPr="006558B9" w:rsidRDefault="0058665B" w:rsidP="0058665B">
            <w:pPr>
              <w:spacing w:after="0"/>
            </w:pPr>
            <w:r w:rsidRPr="00996D09">
              <w:t>Dépenses à l'international (promotion des produits français, développement, etc.)</w:t>
            </w:r>
          </w:p>
        </w:tc>
      </w:tr>
      <w:tr w:rsidR="0058665B" w14:paraId="6D466AC8" w14:textId="77777777" w:rsidTr="0058665B">
        <w:trPr>
          <w:trHeight w:val="285"/>
        </w:trPr>
        <w:tc>
          <w:tcPr>
            <w:tcW w:w="1785" w:type="dxa"/>
          </w:tcPr>
          <w:p w14:paraId="4E74F75C" w14:textId="3D74D61C" w:rsidR="0058665B" w:rsidRPr="006558B9" w:rsidRDefault="0058665B" w:rsidP="0058665B">
            <w:pPr>
              <w:spacing w:after="0"/>
              <w:jc w:val="left"/>
            </w:pPr>
            <w:r w:rsidRPr="00996D09">
              <w:t>SANITHUM</w:t>
            </w:r>
          </w:p>
        </w:tc>
        <w:tc>
          <w:tcPr>
            <w:tcW w:w="7845" w:type="dxa"/>
          </w:tcPr>
          <w:p w14:paraId="50E26696" w14:textId="2464AAE7" w:rsidR="0058665B" w:rsidRPr="006558B9" w:rsidRDefault="0058665B" w:rsidP="0058665B">
            <w:pPr>
              <w:spacing w:after="0"/>
            </w:pPr>
            <w:r w:rsidRPr="00996D09">
              <w:t>Dépenses liées à la surveillance et au contrôle sanitaire des denrées alimentaires, abattoirs exclus</w:t>
            </w:r>
          </w:p>
        </w:tc>
      </w:tr>
      <w:tr w:rsidR="0058665B" w14:paraId="3C989130" w14:textId="77777777" w:rsidTr="0058665B">
        <w:trPr>
          <w:trHeight w:val="285"/>
        </w:trPr>
        <w:tc>
          <w:tcPr>
            <w:tcW w:w="1785" w:type="dxa"/>
          </w:tcPr>
          <w:p w14:paraId="3C896378" w14:textId="3E507F2C" w:rsidR="0058665B" w:rsidRPr="006558B9" w:rsidRDefault="0058665B" w:rsidP="0058665B">
            <w:pPr>
              <w:spacing w:after="0"/>
              <w:jc w:val="left"/>
            </w:pPr>
            <w:r w:rsidRPr="00996D09">
              <w:t>SOUTREV</w:t>
            </w:r>
          </w:p>
        </w:tc>
        <w:tc>
          <w:tcPr>
            <w:tcW w:w="7845" w:type="dxa"/>
          </w:tcPr>
          <w:p w14:paraId="6197443F" w14:textId="6D80D0C6" w:rsidR="0058665B" w:rsidRPr="006558B9" w:rsidRDefault="0058665B" w:rsidP="0058665B">
            <w:pPr>
              <w:spacing w:after="0"/>
            </w:pPr>
            <w:r w:rsidRPr="00996D09">
              <w:t>Dépenses de soutiens monétaires aux revenus des agriculteurs et des ménages</w:t>
            </w:r>
          </w:p>
        </w:tc>
      </w:tr>
    </w:tbl>
    <w:p w14:paraId="4A07B05E" w14:textId="5BBE94D2" w:rsidR="49C2B83B" w:rsidRDefault="49C2B83B"/>
    <w:p w14:paraId="60C24B8F" w14:textId="5972D3DF" w:rsidR="17DE38B8" w:rsidRDefault="36A5615B" w:rsidP="17DE38B8">
      <w:pPr>
        <w:rPr>
          <w:highlight w:val="yellow"/>
        </w:rPr>
      </w:pPr>
      <w:r>
        <w:t>Le codage de la thématique principale dépend ainsi du niveau de granularité de la description du financement et de ventilation du montant. Par exemple, nous codons la totalité de l’enveloppe des éco-régimes de la PAC 2023-2027 en “MIXTE</w:t>
      </w:r>
      <w:r w:rsidR="17E81E7C">
        <w:t>” car nous ne disposons pas du détail prévisionnel de ce montant, dont une partie va b</w:t>
      </w:r>
      <w:r w:rsidR="6D97AF0E">
        <w:t>é</w:t>
      </w:r>
      <w:r w:rsidR="17E81E7C">
        <w:t>néficier à l’agriculture biologique (et pourrait donc être côté “AB”)</w:t>
      </w:r>
      <w:r w:rsidR="16F525D2">
        <w:t>, et une autre encore aux exploitations HVE (pouvant donc être codées en “HVE”). Idem pour les financements de la restauration collective publique, dont une partie devrait pouvoir être codée “AB” et une autre “SIQO”, depuis l’entrée en vigueur de la loi EGALIM</w:t>
      </w:r>
      <w:r w:rsidR="004248F3">
        <w:t>.</w:t>
      </w:r>
    </w:p>
    <w:p w14:paraId="7E27A48B" w14:textId="7BCDBD4F" w:rsidR="005B412A" w:rsidRDefault="2F4AD7E0" w:rsidP="17DE38B8">
      <w:r w:rsidRPr="00E15910">
        <w:t>Dans</w:t>
      </w:r>
      <w:r w:rsidR="00E43C04" w:rsidRPr="00E15910">
        <w:t xml:space="preserve"> les parties </w:t>
      </w:r>
      <w:r w:rsidR="00E15910" w:rsidRPr="00E15910">
        <w:fldChar w:fldCharType="begin"/>
      </w:r>
      <w:r w:rsidR="00E15910" w:rsidRPr="00E15910">
        <w:instrText xml:space="preserve"> REF _Ref164951883 \r \h </w:instrText>
      </w:r>
      <w:r w:rsidR="00E15910">
        <w:instrText xml:space="preserve"> \* MERGEFORMAT </w:instrText>
      </w:r>
      <w:r w:rsidR="00E15910" w:rsidRPr="00E15910">
        <w:fldChar w:fldCharType="separate"/>
      </w:r>
      <w:r w:rsidR="00E15910" w:rsidRPr="00E15910">
        <w:t>6</w:t>
      </w:r>
      <w:r w:rsidR="00E15910" w:rsidRPr="00E15910">
        <w:fldChar w:fldCharType="end"/>
      </w:r>
      <w:r w:rsidR="00E15910" w:rsidRPr="00E15910">
        <w:t xml:space="preserve"> à </w:t>
      </w:r>
      <w:r w:rsidR="00E15910" w:rsidRPr="00E15910">
        <w:fldChar w:fldCharType="begin"/>
      </w:r>
      <w:r w:rsidR="00E15910" w:rsidRPr="00E15910">
        <w:instrText xml:space="preserve"> REF _Ref164951893 \r \h </w:instrText>
      </w:r>
      <w:r w:rsidR="00E15910">
        <w:instrText xml:space="preserve"> \* MERGEFORMAT </w:instrText>
      </w:r>
      <w:r w:rsidR="00E15910" w:rsidRPr="00E15910">
        <w:fldChar w:fldCharType="separate"/>
      </w:r>
      <w:r w:rsidR="00E15910" w:rsidRPr="00E15910">
        <w:t>12</w:t>
      </w:r>
      <w:r w:rsidR="00E15910" w:rsidRPr="00E15910">
        <w:fldChar w:fldCharType="end"/>
      </w:r>
      <w:r w:rsidRPr="00E15910">
        <w:t>, les spéc</w:t>
      </w:r>
      <w:r>
        <w:t xml:space="preserve">ificités méthodologiques de collecte et de codage sont détaillées par source de financement. </w:t>
      </w:r>
    </w:p>
    <w:p w14:paraId="262C4EA9" w14:textId="77777777" w:rsidR="005B412A" w:rsidRDefault="005B412A" w:rsidP="17DE38B8"/>
    <w:p w14:paraId="17037BAF" w14:textId="0DC0C85D" w:rsidR="000F3540" w:rsidRPr="006558B9" w:rsidRDefault="000F3540" w:rsidP="003F59F0">
      <w:pPr>
        <w:pStyle w:val="Titre1"/>
      </w:pPr>
      <w:bookmarkStart w:id="53" w:name="_Toc177052061"/>
      <w:r w:rsidRPr="006558B9">
        <w:t>Méthodologie de vérification</w:t>
      </w:r>
      <w:r w:rsidR="005B412A">
        <w:t xml:space="preserve"> et limites</w:t>
      </w:r>
      <w:bookmarkEnd w:id="53"/>
    </w:p>
    <w:p w14:paraId="42E39984" w14:textId="23DF5FF3" w:rsidR="005B412A" w:rsidRDefault="005B412A" w:rsidP="005B412A">
      <w:pPr>
        <w:pStyle w:val="Titre2"/>
      </w:pPr>
      <w:bookmarkStart w:id="54" w:name="_Toc177052062"/>
      <w:r>
        <w:t>Méthodes de vérification</w:t>
      </w:r>
      <w:bookmarkEnd w:id="54"/>
    </w:p>
    <w:p w14:paraId="7BACB3F3" w14:textId="37D35EAB" w:rsidR="000F3540" w:rsidRDefault="000F3540" w:rsidP="000F3540">
      <w:r>
        <w:t>Afin de s’assurer de la cohérence des montants collectés, notamment concernant les montants ne provenant pas directement des documents budgétaires publics, nous avons mis en œuvre plusieurs stratégies.</w:t>
      </w:r>
    </w:p>
    <w:p w14:paraId="095D96F5" w14:textId="77777777" w:rsidR="004C6BD8" w:rsidRDefault="004C6BD8" w:rsidP="000F3540"/>
    <w:p w14:paraId="535546C4" w14:textId="77777777" w:rsidR="004C6BD8" w:rsidRPr="006558B9" w:rsidRDefault="004C6BD8" w:rsidP="004C6BD8">
      <w:pPr>
        <w:pStyle w:val="Titre3"/>
      </w:pPr>
      <w:bookmarkStart w:id="55" w:name="_Toc177052063"/>
      <w:r w:rsidRPr="006558B9">
        <w:t xml:space="preserve">Les vérifications </w:t>
      </w:r>
      <w:r>
        <w:t>internes</w:t>
      </w:r>
      <w:bookmarkEnd w:id="55"/>
    </w:p>
    <w:p w14:paraId="7BFA7B33" w14:textId="183CDD1E" w:rsidR="004C6BD8" w:rsidRDefault="004C6BD8" w:rsidP="000F3540">
      <w:r>
        <w:t>Les fichier</w:t>
      </w:r>
      <w:r w:rsidR="00B601C2">
        <w:t>s</w:t>
      </w:r>
      <w:r>
        <w:t xml:space="preserve"> de collecte, modélisation et codage ont été contrevérifié</w:t>
      </w:r>
      <w:r w:rsidR="00645E5F">
        <w:t>s</w:t>
      </w:r>
      <w:r>
        <w:t xml:space="preserve"> en interne</w:t>
      </w:r>
      <w:r w:rsidR="00871B2F">
        <w:t> : chaque fichier a fait l’objet</w:t>
      </w:r>
      <w:r w:rsidR="00C43655">
        <w:t xml:space="preserve"> d’une vérification, par </w:t>
      </w:r>
      <w:r w:rsidR="002A1B5C">
        <w:t xml:space="preserve">au moins </w:t>
      </w:r>
      <w:r w:rsidR="00C43655">
        <w:t xml:space="preserve">une </w:t>
      </w:r>
      <w:r w:rsidR="00BB5CEB">
        <w:t>personne différente de la</w:t>
      </w:r>
      <w:r w:rsidR="00870263">
        <w:t xml:space="preserve"> personne ayant majoritairement </w:t>
      </w:r>
      <w:r w:rsidR="00636307">
        <w:t>travaillé le fichier concerné</w:t>
      </w:r>
      <w:r w:rsidR="00BB5CEB">
        <w:t xml:space="preserve">, </w:t>
      </w:r>
      <w:r w:rsidR="00C03122">
        <w:t xml:space="preserve">notamment sur les points suivants </w:t>
      </w:r>
      <w:r w:rsidR="00BB5CEB">
        <w:t>:</w:t>
      </w:r>
    </w:p>
    <w:p w14:paraId="1FCE7148" w14:textId="2E6F3871" w:rsidR="00BB5CEB" w:rsidRDefault="00C03122" w:rsidP="00BB5CEB">
      <w:pPr>
        <w:pStyle w:val="Paragraphedeliste"/>
        <w:numPr>
          <w:ilvl w:val="0"/>
          <w:numId w:val="40"/>
        </w:numPr>
      </w:pPr>
      <w:r>
        <w:lastRenderedPageBreak/>
        <w:t>Les o</w:t>
      </w:r>
      <w:r w:rsidR="00BB5CEB">
        <w:t>rdre</w:t>
      </w:r>
      <w:r>
        <w:t>s</w:t>
      </w:r>
      <w:r w:rsidR="00BB5CEB">
        <w:t xml:space="preserve"> de grandeur obtenus ;</w:t>
      </w:r>
    </w:p>
    <w:p w14:paraId="256E7516" w14:textId="064019C6" w:rsidR="00BB5CEB" w:rsidRDefault="00C03122" w:rsidP="00BB5CEB">
      <w:pPr>
        <w:pStyle w:val="Paragraphedeliste"/>
        <w:numPr>
          <w:ilvl w:val="0"/>
          <w:numId w:val="40"/>
        </w:numPr>
      </w:pPr>
      <w:r>
        <w:t>Le p</w:t>
      </w:r>
      <w:r w:rsidR="00364A32">
        <w:t>érimètre des aides prises en compte</w:t>
      </w:r>
      <w:r w:rsidR="003A3918">
        <w:t xml:space="preserve"> </w:t>
      </w:r>
      <w:r w:rsidR="00364A32">
        <w:t>;</w:t>
      </w:r>
    </w:p>
    <w:p w14:paraId="5F394FFA" w14:textId="01B3B9E3" w:rsidR="00364A32" w:rsidRDefault="00C03122" w:rsidP="00BB5CEB">
      <w:pPr>
        <w:pStyle w:val="Paragraphedeliste"/>
        <w:numPr>
          <w:ilvl w:val="0"/>
          <w:numId w:val="40"/>
        </w:numPr>
      </w:pPr>
      <w:r>
        <w:t>Les f</w:t>
      </w:r>
      <w:r w:rsidR="00F82BEC">
        <w:t>ormules de calcul</w:t>
      </w:r>
      <w:r w:rsidR="002B1227">
        <w:t> ;</w:t>
      </w:r>
    </w:p>
    <w:p w14:paraId="71C85692" w14:textId="0DC4DD1E" w:rsidR="002B1227" w:rsidRDefault="002B1227" w:rsidP="00BB5CEB">
      <w:pPr>
        <w:pStyle w:val="Paragraphedeliste"/>
        <w:numPr>
          <w:ilvl w:val="0"/>
          <w:numId w:val="40"/>
        </w:numPr>
      </w:pPr>
      <w:r>
        <w:t>L</w:t>
      </w:r>
      <w:r w:rsidR="00C03122">
        <w:t>a l</w:t>
      </w:r>
      <w:r>
        <w:t>ogique du raisonnement/</w:t>
      </w:r>
      <w:r w:rsidR="001011D1">
        <w:t xml:space="preserve">de la </w:t>
      </w:r>
      <w:r>
        <w:t>modélisation</w:t>
      </w:r>
      <w:r w:rsidR="001011D1">
        <w:t>.</w:t>
      </w:r>
    </w:p>
    <w:p w14:paraId="3118450D" w14:textId="77777777" w:rsidR="004C6BD8" w:rsidRPr="006558B9" w:rsidRDefault="004C6BD8" w:rsidP="000F3540"/>
    <w:p w14:paraId="2B806724" w14:textId="77777777" w:rsidR="000F3540" w:rsidRPr="006558B9" w:rsidRDefault="000F3540" w:rsidP="000F3540">
      <w:pPr>
        <w:pStyle w:val="Titre3"/>
      </w:pPr>
      <w:bookmarkStart w:id="56" w:name="_Toc177052064"/>
      <w:r w:rsidRPr="006558B9">
        <w:t>Les vérifications à partir de sources externes</w:t>
      </w:r>
      <w:bookmarkEnd w:id="56"/>
    </w:p>
    <w:p w14:paraId="78019F46" w14:textId="77777777" w:rsidR="000F3540" w:rsidRPr="006558B9" w:rsidRDefault="000F3540" w:rsidP="000F3540">
      <w:r w:rsidRPr="006558B9">
        <w:t>Tout d’abord, nous avons mobilisé autant que possible des sources externes de confiance.</w:t>
      </w:r>
    </w:p>
    <w:p w14:paraId="71484068" w14:textId="77777777" w:rsidR="000F3540" w:rsidRPr="006558B9" w:rsidRDefault="000F3540" w:rsidP="000F3540">
      <w:pPr>
        <w:pStyle w:val="Titre4"/>
      </w:pPr>
      <w:r w:rsidRPr="006558B9">
        <w:t>Agreste</w:t>
      </w:r>
    </w:p>
    <w:p w14:paraId="7BDBB8E8" w14:textId="5861B2DD" w:rsidR="000F3540" w:rsidRDefault="000F3540" w:rsidP="000F3540">
      <w:r w:rsidRPr="006558B9">
        <w:t>Concernant les soutiens publics à la production agricole, nous avons notamment mobilisé les rapports d’Agreste sur les “concours publics”</w:t>
      </w:r>
      <w:r>
        <w:t>. Ceux-ci couvrent chaque année l’ensemble des soutiens publics européens et nationaux (dépenses budgétaires, fiscales et sociales) dont la production agricole française bénéficie. Nous avons pu réaliser cette vérification sur les années 2018 et 2021 seulement (seules années complètes de notre côté, et l’année 2024 n’étant naturellement pas publiée par l’Agreste</w:t>
      </w:r>
      <w:r w:rsidR="00E7085F">
        <w:t xml:space="preserve"> à la date de ce rapport</w:t>
      </w:r>
      <w:r>
        <w:t>).</w:t>
      </w:r>
    </w:p>
    <w:p w14:paraId="3751A879" w14:textId="77777777" w:rsidR="000F3540" w:rsidRDefault="000F3540" w:rsidP="000F3540">
      <w:r>
        <w:t>Concernant l’année 2021, nous retrouvons le même montant total (à + ou – 5 %) que ceux des tableaux fournis par Agreste. Au-delà du montant total, nous retrouvons les mêmes montants pour la plupart des mesures de la PAC, mais quelques différences sur certaines mesures PAC, et sur les exonérations sociales principalement. Concernant l’année 2018, nous retrouvons davantage de différences encore, notamment sur les mesures de la PAC.</w:t>
      </w:r>
    </w:p>
    <w:p w14:paraId="52B8FE1A" w14:textId="4D07418C" w:rsidR="000F3540" w:rsidRPr="006558B9" w:rsidRDefault="00EE07A8" w:rsidP="000F3540">
      <w:r>
        <w:t xml:space="preserve">Ces écarts s’expliquent probablement par la différence de nature des chiffres </w:t>
      </w:r>
      <w:r w:rsidR="00B57391">
        <w:t>mobilisés</w:t>
      </w:r>
      <w:r w:rsidR="000F3540">
        <w:t>.</w:t>
      </w:r>
      <w:r w:rsidR="00B57391">
        <w:t xml:space="preserve"> En effet, la publication d’Agreste</w:t>
      </w:r>
      <w:r w:rsidR="00BE3041">
        <w:t xml:space="preserve"> fait état des financements publics exécutés et effectivement décaissés à l’année N</w:t>
      </w:r>
      <w:r w:rsidR="00D92E0E">
        <w:t xml:space="preserve"> tandis que nos chiffres correspondent aux financements publics théoriquement exécutés à l’année N</w:t>
      </w:r>
      <w:r w:rsidR="00BE3041">
        <w:t xml:space="preserve"> – sauf pour les exonérations, où la source est censée être la même que la nôtre. </w:t>
      </w:r>
      <w:r w:rsidR="00810B95">
        <w:t>Ces écarts peuvent donc s’expliquer par des écarts de décaissements effectifs à l’année N de financements censés être exécutés à l’année N-1.</w:t>
      </w:r>
    </w:p>
    <w:p w14:paraId="1DF9049D" w14:textId="77777777" w:rsidR="000F3540" w:rsidRPr="006558B9" w:rsidRDefault="000F3540" w:rsidP="000F3540">
      <w:pPr>
        <w:pStyle w:val="Titre4"/>
      </w:pPr>
      <w:r>
        <w:t>ESANE</w:t>
      </w:r>
    </w:p>
    <w:p w14:paraId="7532B45A" w14:textId="77777777" w:rsidR="000F3540" w:rsidRDefault="000F3540" w:rsidP="000F3540">
      <w:r>
        <w:t xml:space="preserve">Pour vérifier les montants totaux de subventions (dépenses publiques) dont bénéficient les autres entreprises du système alimentaire, nous avons mobilisé les données de l’enquête ESANE de l’Insee. Cette enquête fournit notamment les montants de “subventions d’exploitation” dont bénéficient les entreprises, regroupées par codes NAF. </w:t>
      </w:r>
    </w:p>
    <w:p w14:paraId="353DDF2D" w14:textId="523C36F6" w:rsidR="000F3540" w:rsidRDefault="000F3540" w:rsidP="000F3540">
      <w:r>
        <w:t>Nous avons donc sommé, pour chaque année</w:t>
      </w:r>
      <w:r w:rsidR="00EB3DAF">
        <w:t xml:space="preserve"> </w:t>
      </w:r>
      <w:r w:rsidR="00D85964">
        <w:t>(</w:t>
      </w:r>
      <w:r>
        <w:t>2018 et 2021</w:t>
      </w:r>
      <w:r w:rsidR="00D85964">
        <w:t>)</w:t>
      </w:r>
      <w:r>
        <w:t xml:space="preserve">, les montants de subventions (hors exonérations de taxes, d’impôts ou de cotisations donc) aux dépenses de fonctionnement (OPEX) dont bénéficient la production d’intrants, de la transformation, de la restauration commerciale, de la distribution, et de la partie “institution privées” du bénéficiaire “Transverse”. Nous obtenons un total de </w:t>
      </w:r>
      <w:r w:rsidR="00B8050B">
        <w:t>510</w:t>
      </w:r>
      <w:r>
        <w:t xml:space="preserve"> millions d’euros en 2018, et </w:t>
      </w:r>
      <w:r w:rsidR="00B8050B">
        <w:t>10 165</w:t>
      </w:r>
      <w:r>
        <w:t xml:space="preserve"> millions d’euros en 2021.</w:t>
      </w:r>
      <w:r w:rsidR="00C97632">
        <w:t> </w:t>
      </w:r>
    </w:p>
    <w:p w14:paraId="33BA6BFA" w14:textId="6E8758B6" w:rsidR="000F3540" w:rsidRDefault="000F3540" w:rsidP="000F3540">
      <w:r>
        <w:t xml:space="preserve">Nous avons sommé par ailleurs les montants de subventions d’exploitation reportées dans les données de l’enquête ESANE pour les codes correspondant à nos bénéficiaires. Nous obtenons un total de </w:t>
      </w:r>
      <w:r w:rsidR="00036364">
        <w:t>650</w:t>
      </w:r>
      <w:r>
        <w:t xml:space="preserve"> millions d’euros en 2018, et </w:t>
      </w:r>
      <w:r w:rsidR="0046153F">
        <w:t>10 568</w:t>
      </w:r>
      <w:r>
        <w:t xml:space="preserve"> millions d’euros en 2021.</w:t>
      </w:r>
      <w:r w:rsidR="00437D8E">
        <w:t> </w:t>
      </w:r>
      <w:r>
        <w:t xml:space="preserve">Pour l’année 2021, l’ordre de grandeur est très proche et donc considéré comme convaincant. Pour l’année 2018, notre montant est </w:t>
      </w:r>
      <w:r w:rsidR="0046153F">
        <w:t>légèrement inférieur</w:t>
      </w:r>
      <w:r>
        <w:t xml:space="preserve"> à celui issu d’ESANE</w:t>
      </w:r>
      <w:r w:rsidR="0035084A">
        <w:t>, mais nous parait malgré tout convaincant</w:t>
      </w:r>
      <w:r>
        <w:t xml:space="preserve">   </w:t>
      </w:r>
    </w:p>
    <w:p w14:paraId="11CD1B6F" w14:textId="77777777" w:rsidR="000F3540" w:rsidRPr="006558B9" w:rsidRDefault="000F3540" w:rsidP="000F3540">
      <w:r>
        <w:lastRenderedPageBreak/>
        <w:t>L’enquête ESANE fournissait autrefois également les montants de “subventions d’investissement”, mais ne le fait plus. Nous ne pouvons donc pas vérifier les montants de subventions aux CAPEX (dépenses d’investissement) que nous avons collectés.</w:t>
      </w:r>
    </w:p>
    <w:p w14:paraId="04A21AFD" w14:textId="77777777" w:rsidR="000F3540" w:rsidRPr="006558B9" w:rsidRDefault="000F3540" w:rsidP="000F3540">
      <w:pPr>
        <w:pStyle w:val="Titre3"/>
      </w:pPr>
      <w:bookmarkStart w:id="57" w:name="_Toc177052065"/>
      <w:r w:rsidRPr="006558B9">
        <w:t>Les vérifications à dires d’experts</w:t>
      </w:r>
      <w:bookmarkEnd w:id="57"/>
    </w:p>
    <w:p w14:paraId="59F20F16" w14:textId="43E93BDD" w:rsidR="000F3540" w:rsidRDefault="000F3540" w:rsidP="000F3540">
      <w:r>
        <w:t>Outre les vérifications à partir de documents ou données complémentaires, nous avons également sollicités différents experts de la fonction publique, de certaines filières ou maillons du système alimentaire, afin d’obtenir leur avi</w:t>
      </w:r>
      <w:r w:rsidR="00C7014A">
        <w:t>s concernant les</w:t>
      </w:r>
      <w:r>
        <w:t xml:space="preserve"> ordres de grandeur et le caractère exhaustif des dépenses prises en comptes.</w:t>
      </w:r>
    </w:p>
    <w:p w14:paraId="36399B28" w14:textId="77777777" w:rsidR="000F3540" w:rsidRDefault="000F3540" w:rsidP="000F3540"/>
    <w:p w14:paraId="6BECB714" w14:textId="77777777" w:rsidR="004C6BD8" w:rsidRDefault="004C6BD8" w:rsidP="000F3540"/>
    <w:p w14:paraId="55B37B3C" w14:textId="77777777" w:rsidR="005B412A" w:rsidRDefault="005B412A" w:rsidP="005B412A">
      <w:pPr>
        <w:pStyle w:val="Titre2"/>
      </w:pPr>
      <w:bookmarkStart w:id="58" w:name="_Toc177052066"/>
      <w:r>
        <w:t>Limites générales et dépenses manquantes</w:t>
      </w:r>
      <w:bookmarkEnd w:id="58"/>
    </w:p>
    <w:p w14:paraId="45D0FC10" w14:textId="409AC12A" w:rsidR="00495F6C" w:rsidRDefault="00495F6C" w:rsidP="004B29F9">
      <w:r>
        <w:t>Nous avons rencontré plusieurs limites</w:t>
      </w:r>
      <w:r w:rsidR="009048AE">
        <w:t xml:space="preserve"> lors de la phase de collecte et de codage des données.</w:t>
      </w:r>
    </w:p>
    <w:p w14:paraId="14B6BAFB" w14:textId="26529B51" w:rsidR="004B29F9" w:rsidRDefault="009048AE" w:rsidP="004B29F9">
      <w:r>
        <w:t xml:space="preserve">Concernant la </w:t>
      </w:r>
      <w:r w:rsidRPr="009048AE">
        <w:rPr>
          <w:b/>
          <w:bCs/>
        </w:rPr>
        <w:t>collecte des données</w:t>
      </w:r>
      <w:r>
        <w:t>,</w:t>
      </w:r>
      <w:r w:rsidR="00250E8B">
        <w:t xml:space="preserve"> </w:t>
      </w:r>
      <w:r w:rsidR="00453128">
        <w:t xml:space="preserve">certains chiffres </w:t>
      </w:r>
      <w:r w:rsidR="00517FFB">
        <w:t>ne sont pas publics</w:t>
      </w:r>
      <w:r w:rsidR="001F0111">
        <w:t>, ce qui nous amène</w:t>
      </w:r>
      <w:r w:rsidR="00F73A44">
        <w:t xml:space="preserve"> à faire des estimations</w:t>
      </w:r>
      <w:r w:rsidR="009D69C7">
        <w:t xml:space="preserve">, sur base </w:t>
      </w:r>
      <w:r w:rsidR="00D843A9">
        <w:t xml:space="preserve">notamment </w:t>
      </w:r>
      <w:r w:rsidR="009D69C7">
        <w:t>de chiffres ou approximations issus de rapport, de dires d’expert</w:t>
      </w:r>
      <w:r w:rsidR="00D843A9">
        <w:t>s, etc.</w:t>
      </w:r>
      <w:r w:rsidR="009D7BC8" w:rsidRPr="009D7BC8">
        <w:t xml:space="preserve"> </w:t>
      </w:r>
      <w:r w:rsidR="009D7BC8">
        <w:t xml:space="preserve">Par exemple, pour la restauration collective, nous avons modélisé le coût pris en charge par les collectivités via une modélisation. Ces estimations sont </w:t>
      </w:r>
      <w:r w:rsidR="004B29F9">
        <w:t>vectrices</w:t>
      </w:r>
      <w:r w:rsidR="009D7BC8">
        <w:t xml:space="preserve"> d’incertitudes.</w:t>
      </w:r>
      <w:r w:rsidR="004B29F9">
        <w:t xml:space="preserve"> De plus, l’exhaustivité est difficile voire impossible à atteindre</w:t>
      </w:r>
      <w:r w:rsidR="00827602">
        <w:t xml:space="preserve">, d’une part parce que nous manquons une partie du périmètre dont nous n’avons pas connaissance, et d’autre part, nous manquons une partie dont nous avons connaissance, mais </w:t>
      </w:r>
      <w:r w:rsidR="00322DC5">
        <w:t>les données ne sont pas accessibles.</w:t>
      </w:r>
    </w:p>
    <w:p w14:paraId="4A164740" w14:textId="30C0F58A" w:rsidR="005B412A" w:rsidRDefault="00322DC5" w:rsidP="00245345">
      <w:r>
        <w:t xml:space="preserve">Concernant le </w:t>
      </w:r>
      <w:r w:rsidRPr="00322DC5">
        <w:rPr>
          <w:b/>
          <w:bCs/>
        </w:rPr>
        <w:t>c</w:t>
      </w:r>
      <w:r w:rsidR="005B412A" w:rsidRPr="00322DC5">
        <w:rPr>
          <w:b/>
          <w:bCs/>
        </w:rPr>
        <w:t>odage</w:t>
      </w:r>
      <w:r>
        <w:t>,</w:t>
      </w:r>
      <w:r w:rsidR="005B412A">
        <w:t xml:space="preserve"> </w:t>
      </w:r>
      <w:r>
        <w:t>nous sommes très d</w:t>
      </w:r>
      <w:r w:rsidR="005B412A">
        <w:t>épendant</w:t>
      </w:r>
      <w:r>
        <w:t>.es</w:t>
      </w:r>
      <w:r w:rsidR="005B412A">
        <w:t xml:space="preserve"> de la qualité et la granularité de l’information utilisée</w:t>
      </w:r>
      <w:r>
        <w:t xml:space="preserve">. </w:t>
      </w:r>
      <w:r w:rsidR="00C52564">
        <w:t>C</w:t>
      </w:r>
      <w:r>
        <w:t>ertaines dépenses</w:t>
      </w:r>
      <w:r w:rsidR="00C52564">
        <w:t xml:space="preserve"> recouvrent plusieurs thématiques/</w:t>
      </w:r>
      <w:r w:rsidR="002705EB">
        <w:t>bénéficiaires/horizons temporels</w:t>
      </w:r>
      <w:r w:rsidR="008A4DB5">
        <w:t xml:space="preserve"> et la ventilation est là encore source d’approximations et incertitudes.</w:t>
      </w:r>
      <w:r w:rsidR="00245345">
        <w:t xml:space="preserve"> </w:t>
      </w:r>
    </w:p>
    <w:p w14:paraId="77346B6F" w14:textId="77777777" w:rsidR="009A7939" w:rsidRDefault="009A7939" w:rsidP="17DE38B8"/>
    <w:p w14:paraId="786A9B2F" w14:textId="77777777" w:rsidR="00C70E2C" w:rsidRDefault="00C70E2C" w:rsidP="00C70E2C">
      <w:pPr>
        <w:pStyle w:val="Titre1"/>
      </w:pPr>
      <w:bookmarkStart w:id="59" w:name="_Toc91564924"/>
      <w:bookmarkStart w:id="60" w:name="_Toc177052067"/>
      <w:r>
        <w:t>Liste des améliorations / ajouts à moyen terme</w:t>
      </w:r>
      <w:bookmarkEnd w:id="59"/>
      <w:bookmarkEnd w:id="60"/>
    </w:p>
    <w:p w14:paraId="2CD04D04" w14:textId="77777777" w:rsidR="00C70E2C" w:rsidRDefault="00C70E2C" w:rsidP="00C70E2C">
      <w:pPr>
        <w:pStyle w:val="Titre2"/>
      </w:pPr>
      <w:bookmarkStart w:id="61" w:name="_Toc177052068"/>
      <w:r>
        <w:t>Compléter les années manquantes</w:t>
      </w:r>
      <w:bookmarkEnd w:id="61"/>
    </w:p>
    <w:p w14:paraId="4E275E81" w14:textId="77777777" w:rsidR="00C70E2C" w:rsidRDefault="00C70E2C" w:rsidP="00C70E2C">
      <w:r>
        <w:t>Seules les années 2018, 2021, et 2024 sont complètes. 2019, 2020, 2022 et 2023 ne le sont pas. Il faudrait notamment :</w:t>
      </w:r>
    </w:p>
    <w:p w14:paraId="576162B6" w14:textId="77777777" w:rsidR="00C70E2C" w:rsidRDefault="00C70E2C" w:rsidP="00C70E2C">
      <w:pPr>
        <w:pStyle w:val="Paragraphedeliste"/>
        <w:numPr>
          <w:ilvl w:val="0"/>
          <w:numId w:val="18"/>
        </w:numPr>
      </w:pPr>
      <w:r>
        <w:t>Ajouter France Relance UE pour les années 2022 et 2023 (fait pour les années 2021 et 2024 et France Relance ne commence qu’en 2021, donc les années antérieures ne sont pas concernées) ;</w:t>
      </w:r>
    </w:p>
    <w:p w14:paraId="4E14D6E1" w14:textId="77777777" w:rsidR="00C70E2C" w:rsidRDefault="00C70E2C" w:rsidP="00C70E2C">
      <w:pPr>
        <w:pStyle w:val="Paragraphedeliste"/>
        <w:numPr>
          <w:ilvl w:val="0"/>
          <w:numId w:val="18"/>
        </w:numPr>
      </w:pPr>
      <w:r>
        <w:t>Basculer TO/DE compensée de EXONSOC à BUDNAT pour 2019, 2020, 2022, 2023 (fait pour 2018, 2021 et 2024).</w:t>
      </w:r>
    </w:p>
    <w:p w14:paraId="10844BC2" w14:textId="77777777" w:rsidR="00C70E2C" w:rsidRDefault="00C70E2C" w:rsidP="00C70E2C">
      <w:pPr>
        <w:pStyle w:val="Titre2"/>
      </w:pPr>
      <w:bookmarkStart w:id="62" w:name="_Toc177052069"/>
      <w:r>
        <w:t>Améliorations méthodologiques</w:t>
      </w:r>
      <w:bookmarkEnd w:id="62"/>
      <w:r>
        <w:t xml:space="preserve"> </w:t>
      </w:r>
    </w:p>
    <w:p w14:paraId="3E5B1909" w14:textId="77777777" w:rsidR="00C70E2C" w:rsidRDefault="00C70E2C" w:rsidP="00C70E2C">
      <w:pPr>
        <w:pStyle w:val="Paragraphedeliste"/>
        <w:numPr>
          <w:ilvl w:val="0"/>
          <w:numId w:val="18"/>
        </w:numPr>
      </w:pPr>
      <w:r>
        <w:t>Reprendre les données Télépac 2018 et 2019 de Lucile Rogissart et utiliser la même méthode pour les montants PAC 2018 et 2019 que les autres années ;</w:t>
      </w:r>
    </w:p>
    <w:p w14:paraId="47DC33A7" w14:textId="77777777" w:rsidR="00C70E2C" w:rsidRPr="009B6686" w:rsidRDefault="00C70E2C" w:rsidP="00C70E2C">
      <w:pPr>
        <w:pStyle w:val="Paragraphedeliste"/>
        <w:numPr>
          <w:ilvl w:val="0"/>
          <w:numId w:val="18"/>
        </w:numPr>
        <w:spacing w:line="276" w:lineRule="auto"/>
      </w:pPr>
      <w:r w:rsidRPr="009B6686">
        <w:t>Détailler les dépenses de la thématique « MIXTE » : quelles thématiques sont couvertes ?</w:t>
      </w:r>
    </w:p>
    <w:p w14:paraId="65B66F26" w14:textId="77777777" w:rsidR="00C70E2C" w:rsidRPr="009B6686" w:rsidRDefault="00C70E2C" w:rsidP="00C70E2C">
      <w:pPr>
        <w:pStyle w:val="Paragraphedeliste"/>
        <w:numPr>
          <w:ilvl w:val="0"/>
          <w:numId w:val="18"/>
        </w:numPr>
        <w:spacing w:line="276" w:lineRule="auto"/>
      </w:pPr>
      <w:r w:rsidRPr="009B6686">
        <w:t>Détailler les dépenses ayant pour bénéficiaire « Transverse » ;</w:t>
      </w:r>
    </w:p>
    <w:p w14:paraId="22D2EAB6" w14:textId="77777777" w:rsidR="00C70E2C" w:rsidRPr="009B6686" w:rsidRDefault="00C70E2C" w:rsidP="00C70E2C">
      <w:pPr>
        <w:pStyle w:val="Paragraphedeliste"/>
        <w:numPr>
          <w:ilvl w:val="0"/>
          <w:numId w:val="18"/>
        </w:numPr>
        <w:spacing w:line="276" w:lineRule="auto"/>
      </w:pPr>
      <w:r w:rsidRPr="009B6686">
        <w:rPr>
          <w:rStyle w:val="ui-provider"/>
        </w:rPr>
        <w:lastRenderedPageBreak/>
        <w:t>Utiliser les données de la « base tous salariés » du BASIC pour affiner la ventilation des exonérations sociales sur les bas salaires.</w:t>
      </w:r>
    </w:p>
    <w:p w14:paraId="1082FCCC" w14:textId="77777777" w:rsidR="00C70E2C" w:rsidRDefault="00C70E2C" w:rsidP="00C70E2C">
      <w:pPr>
        <w:pStyle w:val="Paragraphedeliste"/>
      </w:pPr>
    </w:p>
    <w:p w14:paraId="0C28C5D3" w14:textId="77777777" w:rsidR="00C70E2C" w:rsidRDefault="00C70E2C" w:rsidP="00C70E2C">
      <w:pPr>
        <w:pStyle w:val="Titre2"/>
      </w:pPr>
      <w:bookmarkStart w:id="63" w:name="_Toc177052070"/>
      <w:r>
        <w:t>Ajout de dépenses manquantes</w:t>
      </w:r>
      <w:bookmarkEnd w:id="63"/>
    </w:p>
    <w:p w14:paraId="1339ED79" w14:textId="503AEAD1" w:rsidR="00C70E2C" w:rsidRDefault="00C707FE" w:rsidP="00C70E2C">
      <w:pPr>
        <w:pStyle w:val="Paragraphedeliste"/>
        <w:numPr>
          <w:ilvl w:val="0"/>
          <w:numId w:val="36"/>
        </w:numPr>
      </w:pPr>
      <w:r>
        <w:t>Les</w:t>
      </w:r>
      <w:r w:rsidR="00C70E2C">
        <w:t xml:space="preserve"> dépense</w:t>
      </w:r>
      <w:r>
        <w:t>s du fonds</w:t>
      </w:r>
      <w:r w:rsidR="00C70E2C">
        <w:t xml:space="preserve"> </w:t>
      </w:r>
      <w:r w:rsidR="00C70E2C" w:rsidRPr="00843892">
        <w:t>LIFE aux autres dépenses UE</w:t>
      </w:r>
      <w:r w:rsidR="00C70E2C">
        <w:t> </w:t>
      </w:r>
      <w:r>
        <w:t xml:space="preserve">hors PAC </w:t>
      </w:r>
      <w:r w:rsidR="00C70E2C">
        <w:t>;</w:t>
      </w:r>
    </w:p>
    <w:p w14:paraId="3057E8D0" w14:textId="389E15A5" w:rsidR="00C70E2C" w:rsidRDefault="00C70E2C" w:rsidP="00C70E2C">
      <w:pPr>
        <w:pStyle w:val="Paragraphedeliste"/>
        <w:numPr>
          <w:ilvl w:val="0"/>
          <w:numId w:val="36"/>
        </w:numPr>
      </w:pPr>
      <w:r>
        <w:t>Certaines régions</w:t>
      </w:r>
      <w:r w:rsidR="00F4148E">
        <w:t>,</w:t>
      </w:r>
      <w:r>
        <w:t xml:space="preserve"> </w:t>
      </w:r>
      <w:r w:rsidR="00F4148E">
        <w:t>non</w:t>
      </w:r>
      <w:r>
        <w:t xml:space="preserve"> comprises dans les comptes globaux des aides UE hors PAC ;</w:t>
      </w:r>
    </w:p>
    <w:p w14:paraId="0C0623BE" w14:textId="3FDB0E9E" w:rsidR="001C64A8" w:rsidRDefault="001C64A8" w:rsidP="001C64A8">
      <w:pPr>
        <w:pStyle w:val="Paragraphedeliste"/>
        <w:numPr>
          <w:ilvl w:val="0"/>
          <w:numId w:val="18"/>
        </w:numPr>
        <w:spacing w:line="276" w:lineRule="auto"/>
        <w:rPr>
          <w:rStyle w:val="ui-provider"/>
        </w:rPr>
      </w:pPr>
      <w:r>
        <w:t>Les dépenses publiques pour la filière de traitement des déchets alimentaires (organiques mais aussi les emballages par exemple) ;</w:t>
      </w:r>
    </w:p>
    <w:p w14:paraId="7716AF39" w14:textId="7C7B37DB" w:rsidR="00C70E2C" w:rsidRDefault="00C70E2C" w:rsidP="00C70E2C">
      <w:pPr>
        <w:pStyle w:val="Paragraphedeliste"/>
        <w:numPr>
          <w:ilvl w:val="0"/>
          <w:numId w:val="18"/>
        </w:numPr>
        <w:spacing w:line="276" w:lineRule="auto"/>
      </w:pPr>
      <w:r>
        <w:t>Exonérations sociales :</w:t>
      </w:r>
      <w:r w:rsidR="00E15B4B">
        <w:t xml:space="preserve"> celles portant sur certains compléments de salaires,</w:t>
      </w:r>
      <w:r>
        <w:t xml:space="preserve"> </w:t>
      </w:r>
      <w:r w:rsidR="00E15B4B">
        <w:t xml:space="preserve">l’exonération </w:t>
      </w:r>
      <w:r>
        <w:t>« </w:t>
      </w:r>
      <w:r w:rsidRPr="00391B29">
        <w:t>Structures d'aide sociale (CHRS / Emmaüs)</w:t>
      </w:r>
      <w:r>
        <w:t xml:space="preserve"> » </w:t>
      </w:r>
      <w:r w:rsidR="00E15B4B">
        <w:t>de la distribution</w:t>
      </w:r>
      <w:r>
        <w:t xml:space="preserve"> (</w:t>
      </w:r>
      <w:r w:rsidR="00E15B4B">
        <w:t xml:space="preserve">environ </w:t>
      </w:r>
      <w:r>
        <w:t>12 millions € pour 2018).</w:t>
      </w:r>
    </w:p>
    <w:p w14:paraId="1BC0EDFC" w14:textId="2F8B5A8F" w:rsidR="00E15B4B" w:rsidRDefault="00E15B4B" w:rsidP="00E15B4B">
      <w:pPr>
        <w:pStyle w:val="Paragraphedeliste"/>
        <w:numPr>
          <w:ilvl w:val="0"/>
          <w:numId w:val="18"/>
        </w:numPr>
        <w:spacing w:line="276" w:lineRule="auto"/>
        <w:rPr>
          <w:rStyle w:val="ui-provider"/>
        </w:rPr>
      </w:pPr>
      <w:r w:rsidRPr="00987772">
        <w:rPr>
          <w:rStyle w:val="ui-provider"/>
        </w:rPr>
        <w:t>Les financements</w:t>
      </w:r>
      <w:r>
        <w:rPr>
          <w:rStyle w:val="ui-provider"/>
        </w:rPr>
        <w:t xml:space="preserve"> de la restauration collective publique des</w:t>
      </w:r>
      <w:r w:rsidRPr="00987772">
        <w:rPr>
          <w:rStyle w:val="ui-provider"/>
        </w:rPr>
        <w:t xml:space="preserve"> crèches</w:t>
      </w:r>
      <w:r>
        <w:rPr>
          <w:rStyle w:val="ui-provider"/>
        </w:rPr>
        <w:t xml:space="preserve"> et </w:t>
      </w:r>
      <w:r w:rsidRPr="00987772">
        <w:rPr>
          <w:rStyle w:val="ui-provider"/>
        </w:rPr>
        <w:t>administrations publiques</w:t>
      </w:r>
      <w:r>
        <w:rPr>
          <w:rStyle w:val="ui-provider"/>
        </w:rPr>
        <w:t xml:space="preserve"> (</w:t>
      </w:r>
      <w:r w:rsidRPr="00987772">
        <w:rPr>
          <w:rStyle w:val="ui-provider"/>
        </w:rPr>
        <w:t>centrales et collectivités</w:t>
      </w:r>
      <w:r>
        <w:rPr>
          <w:rStyle w:val="ui-provider"/>
        </w:rPr>
        <w:t>)</w:t>
      </w:r>
      <w:r w:rsidRPr="00987772">
        <w:rPr>
          <w:rStyle w:val="ui-provider"/>
        </w:rPr>
        <w:t>.</w:t>
      </w:r>
    </w:p>
    <w:p w14:paraId="7F250708" w14:textId="1EA0F2A8" w:rsidR="00E15B4B" w:rsidRPr="00987772" w:rsidRDefault="00E15B4B" w:rsidP="00E15B4B">
      <w:pPr>
        <w:pStyle w:val="Paragraphedeliste"/>
        <w:numPr>
          <w:ilvl w:val="0"/>
          <w:numId w:val="18"/>
        </w:numPr>
        <w:spacing w:line="276" w:lineRule="auto"/>
        <w:rPr>
          <w:rStyle w:val="ui-provider"/>
        </w:rPr>
      </w:pPr>
      <w:r>
        <w:rPr>
          <w:rStyle w:val="ui-provider"/>
        </w:rPr>
        <w:t>Les soutiens des institutions financières publiques sous forme de prêts aidés</w:t>
      </w:r>
    </w:p>
    <w:p w14:paraId="71596E40" w14:textId="77777777" w:rsidR="00200BEF" w:rsidRPr="00200BEF" w:rsidRDefault="00200BEF" w:rsidP="00200BEF">
      <w:pPr>
        <w:spacing w:line="276" w:lineRule="auto"/>
        <w:rPr>
          <w:rStyle w:val="ui-provider"/>
          <w:highlight w:val="yellow"/>
        </w:rPr>
      </w:pPr>
    </w:p>
    <w:p w14:paraId="42F4C61E" w14:textId="77777777" w:rsidR="005B412A" w:rsidRDefault="005B412A" w:rsidP="17DE38B8"/>
    <w:p w14:paraId="3165F67A" w14:textId="1C02B612" w:rsidR="008F277B" w:rsidRDefault="26B52A3D" w:rsidP="006558B9">
      <w:pPr>
        <w:pStyle w:val="Titre1"/>
      </w:pPr>
      <w:bookmarkStart w:id="64" w:name="_Toc23601051"/>
      <w:bookmarkStart w:id="65" w:name="_Ref164951386"/>
      <w:bookmarkStart w:id="66" w:name="_Ref164951862"/>
      <w:bookmarkStart w:id="67" w:name="_Ref164951883"/>
      <w:bookmarkStart w:id="68" w:name="_Toc177052071"/>
      <w:r>
        <w:t>Exonérations</w:t>
      </w:r>
      <w:r w:rsidR="21BA8B17">
        <w:t xml:space="preserve"> </w:t>
      </w:r>
      <w:r w:rsidR="7A33C1EE">
        <w:t>sociales</w:t>
      </w:r>
      <w:bookmarkEnd w:id="64"/>
      <w:bookmarkEnd w:id="65"/>
      <w:bookmarkEnd w:id="66"/>
      <w:bookmarkEnd w:id="67"/>
      <w:bookmarkEnd w:id="68"/>
    </w:p>
    <w:p w14:paraId="6CF7A71F" w14:textId="420DA190" w:rsidR="00FB4DC5" w:rsidRDefault="00FB4DC5" w:rsidP="001B6CA9">
      <w:pPr>
        <w:pStyle w:val="Titre2"/>
        <w:rPr>
          <w:rStyle w:val="ui-provider"/>
        </w:rPr>
      </w:pPr>
      <w:bookmarkStart w:id="69" w:name="_Toc177052072"/>
      <w:r w:rsidRPr="520A432B">
        <w:rPr>
          <w:rStyle w:val="ui-provider"/>
        </w:rPr>
        <w:t>Présentation générale et sources principales des données</w:t>
      </w:r>
      <w:bookmarkEnd w:id="69"/>
    </w:p>
    <w:p w14:paraId="08A1938D" w14:textId="7E146DC5" w:rsidR="00EA526E" w:rsidRDefault="00736FD1" w:rsidP="001F4A6C">
      <w:r>
        <w:t>L</w:t>
      </w:r>
      <w:r w:rsidR="00FC747B">
        <w:t>e raccourci « exonérations sociales »</w:t>
      </w:r>
      <w:r w:rsidR="001F4A6C">
        <w:t xml:space="preserve"> </w:t>
      </w:r>
      <w:r>
        <w:t xml:space="preserve">est utilisé </w:t>
      </w:r>
      <w:r w:rsidR="006E27B5">
        <w:t>pour désigner les</w:t>
      </w:r>
      <w:r w:rsidR="001F4A6C">
        <w:t xml:space="preserve"> « mesures de réduction et d’exonération de cotisations et contributions »</w:t>
      </w:r>
      <w:r w:rsidR="002E735D">
        <w:t xml:space="preserve">, encore appelées </w:t>
      </w:r>
      <w:r w:rsidR="00166CFB">
        <w:t>MRECC</w:t>
      </w:r>
      <w:r w:rsidR="006E27B5">
        <w:t>.</w:t>
      </w:r>
      <w:r w:rsidR="0011460F">
        <w:t xml:space="preserve"> </w:t>
      </w:r>
      <w:r w:rsidR="006B20EF">
        <w:t>Les dépenses liées aux exonérations sociales sont toutes codées</w:t>
      </w:r>
      <w:r w:rsidR="00EA526E">
        <w:t> :</w:t>
      </w:r>
    </w:p>
    <w:p w14:paraId="02AB0FDE" w14:textId="43576BE6" w:rsidR="000F4345" w:rsidRDefault="00EA526E">
      <w:pPr>
        <w:pStyle w:val="Paragraphedeliste"/>
        <w:numPr>
          <w:ilvl w:val="0"/>
          <w:numId w:val="29"/>
        </w:numPr>
      </w:pPr>
      <w:r w:rsidRPr="00EA526E">
        <w:t xml:space="preserve">Source : </w:t>
      </w:r>
      <w:r w:rsidR="000F4345" w:rsidRPr="00EA526E">
        <w:t>EXONSOC</w:t>
      </w:r>
      <w:r w:rsidR="0011460F">
        <w:t> ;</w:t>
      </w:r>
    </w:p>
    <w:p w14:paraId="5D0132A0" w14:textId="0BD336FE" w:rsidR="00EA526E" w:rsidRPr="00EA526E" w:rsidRDefault="00EA526E">
      <w:pPr>
        <w:pStyle w:val="Paragraphedeliste"/>
        <w:numPr>
          <w:ilvl w:val="0"/>
          <w:numId w:val="29"/>
        </w:numPr>
      </w:pPr>
      <w:r>
        <w:t>Horizon temporel : OPEX</w:t>
      </w:r>
      <w:r w:rsidR="0011460F">
        <w:t>.</w:t>
      </w:r>
    </w:p>
    <w:p w14:paraId="769489F5" w14:textId="71FD153F" w:rsidR="00464815" w:rsidRDefault="00464815" w:rsidP="00464815">
      <w:r>
        <w:t xml:space="preserve">Pour comptabiliser ces exonérations (prévisionnelles et exécutées) nous nous appuyons </w:t>
      </w:r>
      <w:r w:rsidR="0005116B">
        <w:t xml:space="preserve">majoritairement </w:t>
      </w:r>
      <w:r>
        <w:t>sur une Annexe</w:t>
      </w:r>
      <w:r>
        <w:rPr>
          <w:rStyle w:val="Appelnotedebasdep"/>
        </w:rPr>
        <w:footnoteReference w:id="5"/>
      </w:r>
      <w:r>
        <w:t xml:space="preserve"> des Projets de Loi de Finance de la Sécurité Sociale (PLFSS) annuels, qui donnent les dépenses prévues de l’année en cours et les dépenses exécutées des deux années précédentes.</w:t>
      </w:r>
    </w:p>
    <w:p w14:paraId="2627D831" w14:textId="30EDC702" w:rsidR="00256C6B" w:rsidRDefault="00256C6B" w:rsidP="00256C6B">
      <w:r>
        <w:t xml:space="preserve">Le champ </w:t>
      </w:r>
      <w:r w:rsidR="00940145">
        <w:t>couvert par le</w:t>
      </w:r>
      <w:r w:rsidR="00D55B66">
        <w:t>s</w:t>
      </w:r>
      <w:r w:rsidR="00940145">
        <w:t xml:space="preserve"> PLFSS</w:t>
      </w:r>
      <w:r>
        <w:t xml:space="preserve"> comprend </w:t>
      </w:r>
      <w:r w:rsidRPr="00D10A28">
        <w:t>l’ensemble des mesures de l’année qui entraînent une perte de recettes pour les organismes de base de la sécurité sociale (ou pour l’État lorsque celui-ci en compense le coût) ainsi qu’un allègement du montant dû par les cotisant</w:t>
      </w:r>
      <w:r w:rsidR="00485D86" w:rsidRPr="00D10A28">
        <w:t>.e</w:t>
      </w:r>
      <w:r w:rsidRPr="00D10A28">
        <w:t>s. Il s’agit des règles particulières affectant les recettes de la sécurité sociale et qui dérogent au droit commun</w:t>
      </w:r>
      <w:r>
        <w:t xml:space="preserve"> en matière de prélèvement social </w:t>
      </w:r>
      <w:r w:rsidR="000D3BA1">
        <w:t>(</w:t>
      </w:r>
      <w:r>
        <w:t>PLFSS 2024</w:t>
      </w:r>
      <w:r w:rsidR="000D3BA1">
        <w:t>).</w:t>
      </w:r>
      <w:r w:rsidR="002D5BB7">
        <w:t xml:space="preserve"> Le PLFSS couvre donc les mesures suivantes :</w:t>
      </w:r>
    </w:p>
    <w:p w14:paraId="2363F904" w14:textId="63C12B44" w:rsidR="009A2C7D" w:rsidRDefault="009A2C7D">
      <w:pPr>
        <w:pStyle w:val="Paragraphedeliste"/>
        <w:numPr>
          <w:ilvl w:val="0"/>
          <w:numId w:val="11"/>
        </w:numPr>
      </w:pPr>
      <w:r>
        <w:t>Exonérations de cotisations ;</w:t>
      </w:r>
    </w:p>
    <w:p w14:paraId="4D54D1AA" w14:textId="05AD96BB" w:rsidR="009A2C7D" w:rsidRDefault="009A2C7D">
      <w:pPr>
        <w:pStyle w:val="Paragraphedeliste"/>
        <w:numPr>
          <w:ilvl w:val="0"/>
          <w:numId w:val="11"/>
        </w:numPr>
      </w:pPr>
      <w:r>
        <w:t>Allègements généraux</w:t>
      </w:r>
      <w:r w:rsidR="002D5BB7">
        <w:t xml:space="preserve"> (AG)</w:t>
      </w:r>
      <w:r>
        <w:t> ;</w:t>
      </w:r>
    </w:p>
    <w:p w14:paraId="49FC3DF9" w14:textId="0CED773B" w:rsidR="009A2C7D" w:rsidRDefault="009A2C7D">
      <w:pPr>
        <w:pStyle w:val="Paragraphedeliste"/>
        <w:numPr>
          <w:ilvl w:val="0"/>
          <w:numId w:val="11"/>
        </w:numPr>
      </w:pPr>
      <w:r>
        <w:t>Exemption d’assiette</w:t>
      </w:r>
      <w:r w:rsidR="002D5BB7">
        <w:t>.</w:t>
      </w:r>
      <w:r>
        <w:t> </w:t>
      </w:r>
    </w:p>
    <w:p w14:paraId="75D9122D" w14:textId="6468D3E7" w:rsidR="00B63171" w:rsidRDefault="00B63171" w:rsidP="00DD6AB4">
      <w:r>
        <w:lastRenderedPageBreak/>
        <w:t>Les PLFSS</w:t>
      </w:r>
      <w:r w:rsidR="00931E4B">
        <w:t xml:space="preserve"> fournissent des données :</w:t>
      </w:r>
    </w:p>
    <w:p w14:paraId="35A0911C" w14:textId="38422289" w:rsidR="0037036C" w:rsidRDefault="0FDB9F3B">
      <w:pPr>
        <w:pStyle w:val="Paragraphedeliste"/>
        <w:numPr>
          <w:ilvl w:val="0"/>
          <w:numId w:val="34"/>
        </w:numPr>
      </w:pPr>
      <w:r>
        <w:t xml:space="preserve">De </w:t>
      </w:r>
      <w:r w:rsidR="00931E4B" w:rsidRPr="00283042">
        <w:t>Droits Constatés (DC) pour les années 2018 à 2022</w:t>
      </w:r>
      <w:r w:rsidR="00931E4B">
        <w:t>, qui correspondent à de l’</w:t>
      </w:r>
      <w:r w:rsidR="00931E4B" w:rsidRPr="00283042">
        <w:t>exécuté</w:t>
      </w:r>
      <w:r w:rsidR="00931E4B">
        <w:t> ;</w:t>
      </w:r>
    </w:p>
    <w:p w14:paraId="2EC7D10B" w14:textId="444D0866" w:rsidR="00B63171" w:rsidRDefault="00931E4B">
      <w:pPr>
        <w:pStyle w:val="Paragraphedeliste"/>
        <w:numPr>
          <w:ilvl w:val="0"/>
          <w:numId w:val="33"/>
        </w:numPr>
      </w:pPr>
      <w:r w:rsidRPr="00283042">
        <w:t>Prévisionnel</w:t>
      </w:r>
      <w:r>
        <w:t>les</w:t>
      </w:r>
      <w:r w:rsidRPr="00283042">
        <w:t xml:space="preserve"> (P) pour </w:t>
      </w:r>
      <w:r>
        <w:t xml:space="preserve">toutes </w:t>
      </w:r>
      <w:r w:rsidRPr="00283042">
        <w:t>les années</w:t>
      </w:r>
      <w:r>
        <w:t>, y compris</w:t>
      </w:r>
      <w:r w:rsidRPr="00283042">
        <w:t xml:space="preserve"> 2023 et 2024</w:t>
      </w:r>
      <w:r>
        <w:t>.</w:t>
      </w:r>
    </w:p>
    <w:p w14:paraId="0489A6C6" w14:textId="75D5A4CA" w:rsidR="00941E68" w:rsidRDefault="00DD6AB4" w:rsidP="00256C6B">
      <w:r>
        <w:t>Les PLFSS concernent uniquement les ROBSS :</w:t>
      </w:r>
      <w:r w:rsidRPr="402EC34E">
        <w:rPr>
          <w:b/>
          <w:bCs/>
        </w:rPr>
        <w:t xml:space="preserve"> </w:t>
      </w:r>
      <w:r>
        <w:t>Régimes Obligatoires de Base de la Sécurité Sociale. Les ROBSS incluent pour l’essentiel le régime général et la Mutualité sociale agricole (MSA), c’est-à-dire le régime agricole, le régime général, et les régimes spéciaux.</w:t>
      </w:r>
    </w:p>
    <w:p w14:paraId="5FFF67BD" w14:textId="1F9D6DBA" w:rsidR="00485D86" w:rsidRDefault="005F0C0A" w:rsidP="001B6CA9">
      <w:pPr>
        <w:pStyle w:val="Titre2"/>
      </w:pPr>
      <w:bookmarkStart w:id="70" w:name="_Toc1512944530"/>
      <w:bookmarkStart w:id="71" w:name="_Ref164951792"/>
      <w:bookmarkStart w:id="72" w:name="_Toc177052073"/>
      <w:r>
        <w:t>C</w:t>
      </w:r>
      <w:r w:rsidR="00485D86">
        <w:t>ompensation</w:t>
      </w:r>
      <w:r>
        <w:t xml:space="preserve"> </w:t>
      </w:r>
      <w:r w:rsidR="002D51D7">
        <w:t xml:space="preserve">des exonérations </w:t>
      </w:r>
      <w:r>
        <w:t xml:space="preserve">par </w:t>
      </w:r>
      <w:r w:rsidR="00BB7DB5">
        <w:t xml:space="preserve">le budget de </w:t>
      </w:r>
      <w:r>
        <w:t>l’</w:t>
      </w:r>
      <w:r w:rsidR="00594801">
        <w:t>État</w:t>
      </w:r>
      <w:bookmarkEnd w:id="70"/>
      <w:bookmarkEnd w:id="71"/>
      <w:bookmarkEnd w:id="72"/>
    </w:p>
    <w:p w14:paraId="0A82C9E2" w14:textId="56E84A90" w:rsidR="005F0C0A" w:rsidRPr="005F0C0A" w:rsidRDefault="005F0C0A" w:rsidP="006558B9">
      <w:pPr>
        <w:pStyle w:val="Titre3"/>
      </w:pPr>
      <w:bookmarkStart w:id="73" w:name="_Toc128465026"/>
      <w:bookmarkStart w:id="74" w:name="_Toc177052074"/>
      <w:r>
        <w:t>Principe de compensation</w:t>
      </w:r>
      <w:bookmarkEnd w:id="73"/>
      <w:bookmarkEnd w:id="74"/>
    </w:p>
    <w:p w14:paraId="6A1C8CB3" w14:textId="01C3CA8E" w:rsidR="00B93B47" w:rsidRDefault="00B93B47" w:rsidP="00B93B47">
      <w:r>
        <w:t>L</w:t>
      </w:r>
      <w:r w:rsidRPr="00272753">
        <w:t xml:space="preserve">es moindres recettes perçues par les organismes de </w:t>
      </w:r>
      <w:r w:rsidR="00B157F7">
        <w:t>S</w:t>
      </w:r>
      <w:r w:rsidRPr="00272753">
        <w:t>écurité</w:t>
      </w:r>
      <w:r>
        <w:t xml:space="preserve"> </w:t>
      </w:r>
      <w:r w:rsidR="00B157F7">
        <w:t>S</w:t>
      </w:r>
      <w:r w:rsidRPr="00272753">
        <w:t>ociale</w:t>
      </w:r>
      <w:r>
        <w:t>,</w:t>
      </w:r>
      <w:r w:rsidRPr="00272753">
        <w:t xml:space="preserve"> principalement la Caisse centrale de la mutualité sociale agricole (CCMSA)</w:t>
      </w:r>
      <w:r>
        <w:t>,</w:t>
      </w:r>
      <w:r w:rsidRPr="00272753">
        <w:t xml:space="preserve"> au titre des mesures d’exonération</w:t>
      </w:r>
      <w:r>
        <w:t xml:space="preserve"> </w:t>
      </w:r>
      <w:r w:rsidRPr="00272753">
        <w:t xml:space="preserve">de </w:t>
      </w:r>
      <w:r>
        <w:t>cotisations</w:t>
      </w:r>
      <w:r w:rsidRPr="00272753">
        <w:t xml:space="preserve"> sociales</w:t>
      </w:r>
      <w:r>
        <w:t xml:space="preserve">, peuvent être </w:t>
      </w:r>
      <w:r w:rsidRPr="00B93B47">
        <w:rPr>
          <w:b/>
          <w:bCs/>
        </w:rPr>
        <w:t>compensées ou non compensées.</w:t>
      </w:r>
    </w:p>
    <w:p w14:paraId="6380C98D" w14:textId="26207BE1" w:rsidR="00B93B47" w:rsidRDefault="00B93B47" w:rsidP="00D17F55">
      <w:r>
        <w:t>Si elles ne sont pas compensées, elles restent à la charge de la Sécurité Sociale</w:t>
      </w:r>
      <w:r w:rsidR="00E429A6">
        <w:t xml:space="preserve">, </w:t>
      </w:r>
      <w:r w:rsidR="00A362D9">
        <w:t xml:space="preserve">et </w:t>
      </w:r>
      <w:r w:rsidR="00E429A6">
        <w:t>elles sont</w:t>
      </w:r>
      <w:r w:rsidR="00A362D9">
        <w:t xml:space="preserve"> ainsi</w:t>
      </w:r>
      <w:r w:rsidR="00E429A6">
        <w:t xml:space="preserve"> prises en compte dans no</w:t>
      </w:r>
      <w:r w:rsidR="00E56796">
        <w:t>tre collecte</w:t>
      </w:r>
      <w:r w:rsidR="00E429A6">
        <w:t xml:space="preserve"> comme EXONSOC.</w:t>
      </w:r>
      <w:r w:rsidR="00521451">
        <w:t xml:space="preserve"> </w:t>
      </w:r>
      <w:r>
        <w:t>Si elles sont compensées, il existe plusieurs possibilités</w:t>
      </w:r>
      <w:r w:rsidR="007041E4">
        <w:rPr>
          <w:rStyle w:val="Appelnotedebasdep"/>
        </w:rPr>
        <w:footnoteReference w:id="6"/>
      </w:r>
      <w:r>
        <w:t> :</w:t>
      </w:r>
    </w:p>
    <w:p w14:paraId="2456ED8C" w14:textId="5D38DF76" w:rsidR="008E60C5" w:rsidRDefault="00B93B47">
      <w:pPr>
        <w:pStyle w:val="Paragraphedeliste"/>
        <w:numPr>
          <w:ilvl w:val="0"/>
          <w:numId w:val="17"/>
        </w:numPr>
      </w:pPr>
      <w:r w:rsidRPr="00FB1B7A">
        <w:t>La plus grande partie est compensée à ces organismes sociaux via l’affectation (par la LFSS) de contributions, impôts et taxes</w:t>
      </w:r>
      <w:r w:rsidR="007041E4">
        <w:rPr>
          <w:rStyle w:val="Appelnotedebasdep"/>
        </w:rPr>
        <w:footnoteReference w:id="7"/>
      </w:r>
      <w:r w:rsidRPr="00FB1B7A">
        <w:t xml:space="preserve"> (ITAF) et donc des recettes qui ne viennent pas du budget de l’</w:t>
      </w:r>
      <w:r w:rsidR="00594801">
        <w:t>État</w:t>
      </w:r>
      <w:r w:rsidR="00145E59">
        <w:t>.</w:t>
      </w:r>
      <w:r w:rsidR="00AA7498">
        <w:t xml:space="preserve"> </w:t>
      </w:r>
      <w:r w:rsidR="00EF5913">
        <w:t xml:space="preserve">Une partie de ces taxes est en effet spécialement affectée </w:t>
      </w:r>
      <w:r w:rsidR="0043087E">
        <w:t>en compensation des allègements de cotisations sociales patronales sur les bas salaires ou les heures supplémentaires</w:t>
      </w:r>
      <w:r w:rsidR="009251BA">
        <w:t>. Le régime général de la sécurité sociale, et en particulier sa caisse d’assurance maladie, est le principal bénéficiaire des impôts et taxes affectés</w:t>
      </w:r>
      <w:r w:rsidR="0081116E">
        <w:t xml:space="preserve">. </w:t>
      </w:r>
      <w:r w:rsidR="00D43362">
        <w:t>Ainsi, dans ce cas de figure, les dépenses, bien que compensées, restent à charge de la Sécurité Sociale. Elles sont codées EXONSOC</w:t>
      </w:r>
      <w:r w:rsidR="00145E59">
        <w:t xml:space="preserve"> </w:t>
      </w:r>
      <w:r>
        <w:t>;</w:t>
      </w:r>
    </w:p>
    <w:p w14:paraId="0DF0F5D7" w14:textId="0B39920C" w:rsidR="008E60C5" w:rsidRDefault="003006BE">
      <w:pPr>
        <w:pStyle w:val="Paragraphedeliste"/>
        <w:numPr>
          <w:ilvl w:val="0"/>
          <w:numId w:val="17"/>
        </w:numPr>
      </w:pPr>
      <w:r>
        <w:t>U</w:t>
      </w:r>
      <w:r w:rsidR="00B93B47" w:rsidRPr="00FB1B7A">
        <w:t xml:space="preserve">ne partie </w:t>
      </w:r>
      <w:r>
        <w:t>est</w:t>
      </w:r>
      <w:r w:rsidR="00B93B47" w:rsidRPr="00FB1B7A">
        <w:t xml:space="preserve"> compensée par un transfert du budget de l’</w:t>
      </w:r>
      <w:r w:rsidR="00594801">
        <w:t>État</w:t>
      </w:r>
      <w:r w:rsidR="00B93B47">
        <w:t>.</w:t>
      </w:r>
      <w:r w:rsidR="008E60C5" w:rsidRPr="008E60C5">
        <w:t xml:space="preserve"> </w:t>
      </w:r>
      <w:r w:rsidR="008E60C5">
        <w:t>En effet, l’</w:t>
      </w:r>
      <w:r w:rsidR="00594801">
        <w:t>État</w:t>
      </w:r>
      <w:r w:rsidR="008E60C5">
        <w:t xml:space="preserve"> compense directement une partie d</w:t>
      </w:r>
      <w:r w:rsidR="008E60C5" w:rsidRPr="00272753">
        <w:t>es moindres recettes perçues par les organismes de sécurité</w:t>
      </w:r>
      <w:r w:rsidR="008E60C5">
        <w:t xml:space="preserve"> </w:t>
      </w:r>
      <w:r w:rsidR="008E60C5" w:rsidRPr="00272753">
        <w:t>sociale</w:t>
      </w:r>
      <w:r w:rsidR="008E60C5">
        <w:t>,</w:t>
      </w:r>
      <w:r w:rsidR="008E60C5" w:rsidRPr="00272753">
        <w:t xml:space="preserve"> principalement la Caisse centrale de la mutualité sociale agricole (CCMSA) au titre des mesures d’exonération</w:t>
      </w:r>
      <w:r w:rsidR="008E60C5">
        <w:t xml:space="preserve"> </w:t>
      </w:r>
      <w:r w:rsidR="008E60C5" w:rsidRPr="00272753">
        <w:t xml:space="preserve">de </w:t>
      </w:r>
      <w:r w:rsidR="008E60C5">
        <w:t>cotisations</w:t>
      </w:r>
      <w:r w:rsidR="008E60C5" w:rsidRPr="00272753">
        <w:t xml:space="preserve"> sociales</w:t>
      </w:r>
      <w:r w:rsidR="00DA2112" w:rsidRPr="00DA2112">
        <w:rPr>
          <w:rStyle w:val="Appelnotedebasdep"/>
        </w:rPr>
        <w:t xml:space="preserve"> </w:t>
      </w:r>
      <w:r w:rsidR="00DA2112">
        <w:rPr>
          <w:rStyle w:val="Appelnotedebasdep"/>
        </w:rPr>
        <w:footnoteReference w:id="8"/>
      </w:r>
      <w:r w:rsidR="00DA2112">
        <w:t>.</w:t>
      </w:r>
    </w:p>
    <w:p w14:paraId="053CBF35" w14:textId="0ABA6A92" w:rsidR="00B93B47" w:rsidRDefault="00AA7498" w:rsidP="00D17F55">
      <w:r>
        <w:t>Dans la première possibilité, on n’a donc pas de risque de double compte. En revanche</w:t>
      </w:r>
      <w:r w:rsidR="000027D0">
        <w:t xml:space="preserve"> dans le 2</w:t>
      </w:r>
      <w:r w:rsidR="000027D0" w:rsidRPr="000027D0">
        <w:rPr>
          <w:vertAlign w:val="superscript"/>
        </w:rPr>
        <w:t>nd</w:t>
      </w:r>
      <w:r w:rsidR="000027D0">
        <w:t xml:space="preserve"> cas, </w:t>
      </w:r>
      <w:r w:rsidR="008E7074">
        <w:t xml:space="preserve">un double compte </w:t>
      </w:r>
      <w:r w:rsidR="006E6AC3">
        <w:t xml:space="preserve">de la dépense </w:t>
      </w:r>
      <w:r w:rsidR="008E7074">
        <w:t xml:space="preserve">est possible, </w:t>
      </w:r>
      <w:r w:rsidR="006E6AC3">
        <w:t xml:space="preserve">car elle </w:t>
      </w:r>
      <w:r w:rsidR="0061E225">
        <w:t xml:space="preserve">se </w:t>
      </w:r>
      <w:r w:rsidR="006E6AC3">
        <w:t>trouve à la fois dans le PLFSS (</w:t>
      </w:r>
      <w:r w:rsidR="006D6F18">
        <w:t>EXONSOC</w:t>
      </w:r>
      <w:r w:rsidR="006E6AC3">
        <w:t>) et dans le budget de l’</w:t>
      </w:r>
      <w:r w:rsidR="00594801">
        <w:t>État</w:t>
      </w:r>
      <w:r w:rsidR="006E6AC3">
        <w:t xml:space="preserve"> (</w:t>
      </w:r>
      <w:r w:rsidR="006D6F18">
        <w:t>BUDGNAT</w:t>
      </w:r>
      <w:r w:rsidR="006E6AC3">
        <w:t>)</w:t>
      </w:r>
      <w:r w:rsidR="006D6F18">
        <w:t>.</w:t>
      </w:r>
      <w:r w:rsidR="6C5365D4">
        <w:t xml:space="preserve"> Comme expliqué dans la partie </w:t>
      </w:r>
      <w:r w:rsidR="00594801">
        <w:t>suivante</w:t>
      </w:r>
      <w:r w:rsidR="6C5365D4">
        <w:t>, nous affect</w:t>
      </w:r>
      <w:r w:rsidR="003006BE">
        <w:t>ons</w:t>
      </w:r>
      <w:r w:rsidR="6C5365D4">
        <w:t xml:space="preserve"> la partie compensée par le budget de l’</w:t>
      </w:r>
      <w:r w:rsidR="00594801">
        <w:t>État</w:t>
      </w:r>
      <w:r w:rsidR="6C5365D4">
        <w:t xml:space="preserve"> à la source BUDGNAT, selon le principe de la source originelle du financement.</w:t>
      </w:r>
    </w:p>
    <w:p w14:paraId="26F3607B" w14:textId="713C7BFD" w:rsidR="003A4C0E" w:rsidRDefault="006E6AC3" w:rsidP="00FB1B7A">
      <w:r>
        <w:t>N</w:t>
      </w:r>
      <w:r w:rsidR="008A17D8">
        <w:t>ous avons identifi</w:t>
      </w:r>
      <w:r w:rsidR="008A17D8" w:rsidRPr="006E6AC3">
        <w:t>é une</w:t>
      </w:r>
      <w:r w:rsidRPr="006E6AC3">
        <w:t xml:space="preserve"> seule</w:t>
      </w:r>
      <w:r w:rsidR="008A17D8" w:rsidRPr="006E6AC3">
        <w:t xml:space="preserve"> dépense </w:t>
      </w:r>
      <w:r w:rsidR="00B407EE" w:rsidRPr="006E6AC3">
        <w:t xml:space="preserve">doublement </w:t>
      </w:r>
      <w:r w:rsidR="008A17D8" w:rsidRPr="006E6AC3">
        <w:t>présente</w:t>
      </w:r>
      <w:r w:rsidR="00B407EE" w:rsidRPr="006E6AC3">
        <w:t> </w:t>
      </w:r>
      <w:r w:rsidRPr="006E6AC3">
        <w:t xml:space="preserve">dans ces deux </w:t>
      </w:r>
      <w:r w:rsidR="007B235E" w:rsidRPr="006E6AC3">
        <w:t>enveloppes :</w:t>
      </w:r>
      <w:r w:rsidR="00B407EE" w:rsidRPr="006E6AC3">
        <w:t xml:space="preserve"> les exonérations dites </w:t>
      </w:r>
      <w:r>
        <w:t>« </w:t>
      </w:r>
      <w:r w:rsidR="00B407EE" w:rsidRPr="006E6AC3">
        <w:t>TO/DE</w:t>
      </w:r>
      <w:r>
        <w:t> » : travailleurs occasionnels et demandeurs d’emploi</w:t>
      </w:r>
      <w:r w:rsidR="00B407EE" w:rsidRPr="006E6AC3">
        <w:t>.</w:t>
      </w:r>
      <w:r w:rsidR="008A17D8">
        <w:t xml:space="preserve"> </w:t>
      </w:r>
    </w:p>
    <w:p w14:paraId="57A85A70" w14:textId="77777777" w:rsidR="001322E9" w:rsidRDefault="001322E9" w:rsidP="00FB1B7A"/>
    <w:p w14:paraId="3F468353" w14:textId="78EC749B" w:rsidR="001322E9" w:rsidRDefault="00C52989" w:rsidP="006558B9">
      <w:pPr>
        <w:pStyle w:val="Titre3"/>
      </w:pPr>
      <w:bookmarkStart w:id="75" w:name="_Toc2020787503"/>
      <w:bookmarkStart w:id="76" w:name="_Toc177052075"/>
      <w:r>
        <w:t>Compensation de l’exonération</w:t>
      </w:r>
      <w:r w:rsidR="001322E9">
        <w:t xml:space="preserve"> TO/DE</w:t>
      </w:r>
      <w:bookmarkEnd w:id="75"/>
      <w:bookmarkEnd w:id="76"/>
    </w:p>
    <w:p w14:paraId="2FBF1143" w14:textId="38017B90" w:rsidR="001322E9" w:rsidRDefault="0062104E" w:rsidP="001322E9">
      <w:r>
        <w:lastRenderedPageBreak/>
        <w:t>Il existe donc une c</w:t>
      </w:r>
      <w:r w:rsidR="001322E9" w:rsidRPr="00272753">
        <w:t>ompensation par l’État des moindres recettes perçues par les organismes de sécurité</w:t>
      </w:r>
      <w:r w:rsidR="001322E9">
        <w:t xml:space="preserve"> </w:t>
      </w:r>
      <w:r w:rsidR="001322E9" w:rsidRPr="00272753">
        <w:t>sociale au titre des mesures d’exonération</w:t>
      </w:r>
      <w:r w:rsidR="001322E9">
        <w:t xml:space="preserve"> </w:t>
      </w:r>
      <w:r w:rsidR="001322E9" w:rsidRPr="00272753">
        <w:t>de</w:t>
      </w:r>
      <w:r w:rsidR="00ED6E4B">
        <w:t xml:space="preserve"> </w:t>
      </w:r>
      <w:r w:rsidR="001322E9" w:rsidRPr="00272753">
        <w:t>charges sociales ciblées en faveur du secteur agricole</w:t>
      </w:r>
      <w:r>
        <w:t>,</w:t>
      </w:r>
      <w:r w:rsidR="001322E9" w:rsidRPr="00272753">
        <w:t xml:space="preserve"> </w:t>
      </w:r>
      <w:r w:rsidR="002A4866">
        <w:t>en particulier</w:t>
      </w:r>
      <w:r w:rsidR="001322E9" w:rsidRPr="00272753">
        <w:t xml:space="preserve"> l'exonération de charges patronales pour</w:t>
      </w:r>
      <w:r>
        <w:t xml:space="preserve"> </w:t>
      </w:r>
      <w:r w:rsidR="001322E9" w:rsidRPr="00272753">
        <w:t>l’embauche de travailleurs occasionnels (TO</w:t>
      </w:r>
      <w:r>
        <w:t>/</w:t>
      </w:r>
      <w:r w:rsidR="001322E9" w:rsidRPr="00272753">
        <w:t>DE).</w:t>
      </w:r>
    </w:p>
    <w:p w14:paraId="3906B6AB" w14:textId="703058CF" w:rsidR="001322E9" w:rsidRDefault="659AB992" w:rsidP="001322E9">
      <w:r>
        <w:t>L</w:t>
      </w:r>
      <w:r w:rsidR="001322E9">
        <w:t xml:space="preserve">es montants ne sont </w:t>
      </w:r>
      <w:r w:rsidR="47E37197">
        <w:t xml:space="preserve">cependant </w:t>
      </w:r>
      <w:r w:rsidR="001322E9">
        <w:t>pas exactement identiques</w:t>
      </w:r>
      <w:r w:rsidR="00485168">
        <w:t xml:space="preserve"> entre les deux sources</w:t>
      </w:r>
      <w:r w:rsidR="001322E9">
        <w:t>. Ainsi, les exonérations TO/DE sont comptabilisées dans le budget de l’</w:t>
      </w:r>
      <w:r w:rsidR="00594801">
        <w:t>État</w:t>
      </w:r>
      <w:r w:rsidR="008B57D2">
        <w:t xml:space="preserve"> BUDGNAT</w:t>
      </w:r>
      <w:r w:rsidR="001322E9">
        <w:t>, et la différence entre le montant de la Sécurité sociale et le montant de l’</w:t>
      </w:r>
      <w:r w:rsidR="00594801">
        <w:t>État</w:t>
      </w:r>
      <w:r w:rsidR="001322E9">
        <w:t xml:space="preserve"> est conservée dans les exonérations sociales</w:t>
      </w:r>
      <w:r w:rsidR="008B57D2">
        <w:t xml:space="preserve"> E</w:t>
      </w:r>
      <w:r w:rsidR="0064145E">
        <w:t>XONSOC</w:t>
      </w:r>
      <w:r w:rsidR="001322E9">
        <w:t xml:space="preserve"> sous le nom « TODE Reliquat ».</w:t>
      </w:r>
    </w:p>
    <w:p w14:paraId="519A7F15" w14:textId="77777777" w:rsidR="001322E9" w:rsidRDefault="001322E9" w:rsidP="001322E9">
      <w:r w:rsidRPr="00F67458">
        <w:rPr>
          <w:b/>
          <w:bCs/>
        </w:rPr>
        <w:t>NB 1 :</w:t>
      </w:r>
      <w:r>
        <w:t xml:space="preserve"> A noter que pour l’année 2018, le montant est plus faible côté Sécurité Sociale, la ligne d’exonération TO/DE de EXONSOC passe donc à zéro.</w:t>
      </w:r>
    </w:p>
    <w:p w14:paraId="3164C63A" w14:textId="6E91EF18" w:rsidR="005F2F91" w:rsidRPr="00FB1B7A" w:rsidRDefault="001322E9" w:rsidP="00004990">
      <w:r w:rsidRPr="00F67458">
        <w:rPr>
          <w:b/>
          <w:bCs/>
        </w:rPr>
        <w:t>NB 2 :</w:t>
      </w:r>
      <w:r>
        <w:t xml:space="preserve"> Nous procédons </w:t>
      </w:r>
      <w:r w:rsidR="000B1CB3">
        <w:t xml:space="preserve">de cette façon </w:t>
      </w:r>
      <w:r>
        <w:t>pour les années 2018, 2021 et 2024, années pour lesquelles nous avons les montants du budget détaillé de l’</w:t>
      </w:r>
      <w:r w:rsidR="00594801">
        <w:t>État</w:t>
      </w:r>
      <w:r>
        <w:t>, ce qui n’est pas le cas pour les autres années. Pour les autres années, on laisse la totalité de TODE1 et TODE3 (années inutilisées).</w:t>
      </w:r>
    </w:p>
    <w:p w14:paraId="0CDB80A9" w14:textId="707C85CB" w:rsidR="00256C6B" w:rsidRDefault="00256C6B" w:rsidP="001B6CA9">
      <w:pPr>
        <w:pStyle w:val="Titre2"/>
      </w:pPr>
      <w:bookmarkStart w:id="77" w:name="_Toc1495775762"/>
      <w:bookmarkStart w:id="78" w:name="_Toc177052076"/>
      <w:r>
        <w:t>Catégori</w:t>
      </w:r>
      <w:bookmarkEnd w:id="77"/>
      <w:r w:rsidR="00004990">
        <w:t>sation supplémentaire</w:t>
      </w:r>
      <w:bookmarkEnd w:id="78"/>
    </w:p>
    <w:p w14:paraId="603A4DD8" w14:textId="701715A5" w:rsidR="00002A00" w:rsidRDefault="00D95DA2" w:rsidP="00002A00">
      <w:r>
        <w:t xml:space="preserve">Les différentes exonérations et autres allègements </w:t>
      </w:r>
      <w:r w:rsidR="00844CB0">
        <w:t xml:space="preserve">sont </w:t>
      </w:r>
      <w:r w:rsidR="003949AF">
        <w:t>catégorisés,</w:t>
      </w:r>
      <w:r w:rsidR="00844CB0">
        <w:t xml:space="preserve"> dans les PLFSS</w:t>
      </w:r>
      <w:r w:rsidR="003D1F1E">
        <w:t>, comme suit</w:t>
      </w:r>
      <w:r w:rsidR="001477F1">
        <w:t> :</w:t>
      </w:r>
    </w:p>
    <w:tbl>
      <w:tblPr>
        <w:tblStyle w:val="Grilledutableau"/>
        <w:tblW w:w="0" w:type="auto"/>
        <w:tblLook w:val="04A0" w:firstRow="1" w:lastRow="0" w:firstColumn="1" w:lastColumn="0" w:noHBand="0" w:noVBand="1"/>
      </w:tblPr>
      <w:tblGrid>
        <w:gridCol w:w="2689"/>
        <w:gridCol w:w="4995"/>
        <w:gridCol w:w="1944"/>
      </w:tblGrid>
      <w:tr w:rsidR="00EE62E4" w:rsidRPr="00985CC7" w14:paraId="6D9CCDB8" w14:textId="77777777" w:rsidTr="007070DA">
        <w:trPr>
          <w:trHeight w:val="310"/>
        </w:trPr>
        <w:tc>
          <w:tcPr>
            <w:tcW w:w="2689" w:type="dxa"/>
            <w:shd w:val="clear" w:color="auto" w:fill="000000" w:themeFill="text1"/>
            <w:noWrap/>
            <w:vAlign w:val="center"/>
            <w:hideMark/>
          </w:tcPr>
          <w:p w14:paraId="01CBEEF9" w14:textId="31B39BF4" w:rsidR="00EE62E4" w:rsidRPr="00985CC7" w:rsidRDefault="00EE62E4" w:rsidP="004536D5">
            <w:pPr>
              <w:jc w:val="center"/>
              <w:rPr>
                <w:b/>
                <w:bCs/>
              </w:rPr>
            </w:pPr>
            <w:r w:rsidRPr="00985CC7">
              <w:rPr>
                <w:b/>
                <w:bCs/>
              </w:rPr>
              <w:t>Code</w:t>
            </w:r>
            <w:r>
              <w:rPr>
                <w:b/>
                <w:bCs/>
              </w:rPr>
              <w:t xml:space="preserve"> de la catégorie de coûts</w:t>
            </w:r>
            <w:r w:rsidR="001477F1">
              <w:rPr>
                <w:b/>
                <w:bCs/>
              </w:rPr>
              <w:t xml:space="preserve"> - BASIC</w:t>
            </w:r>
          </w:p>
        </w:tc>
        <w:tc>
          <w:tcPr>
            <w:tcW w:w="4995" w:type="dxa"/>
            <w:shd w:val="clear" w:color="auto" w:fill="000000" w:themeFill="text1"/>
            <w:noWrap/>
            <w:vAlign w:val="center"/>
            <w:hideMark/>
          </w:tcPr>
          <w:p w14:paraId="079B7451" w14:textId="6E9A8B1C" w:rsidR="00EE62E4" w:rsidRPr="00985CC7" w:rsidRDefault="00EE62E4" w:rsidP="004536D5">
            <w:pPr>
              <w:jc w:val="center"/>
              <w:rPr>
                <w:b/>
                <w:bCs/>
              </w:rPr>
            </w:pPr>
            <w:r w:rsidRPr="00985CC7">
              <w:rPr>
                <w:b/>
                <w:bCs/>
              </w:rPr>
              <w:t>Nom de la catégorie</w:t>
            </w:r>
            <w:r w:rsidR="007070DA">
              <w:rPr>
                <w:b/>
                <w:bCs/>
              </w:rPr>
              <w:t xml:space="preserve"> de coût</w:t>
            </w:r>
          </w:p>
        </w:tc>
        <w:tc>
          <w:tcPr>
            <w:tcW w:w="1944" w:type="dxa"/>
            <w:shd w:val="clear" w:color="auto" w:fill="000000" w:themeFill="text1"/>
            <w:noWrap/>
            <w:vAlign w:val="center"/>
            <w:hideMark/>
          </w:tcPr>
          <w:p w14:paraId="71CA0132" w14:textId="28A5AB55" w:rsidR="00EE62E4" w:rsidRPr="00985CC7" w:rsidRDefault="00EE62E4" w:rsidP="004536D5">
            <w:pPr>
              <w:jc w:val="center"/>
              <w:rPr>
                <w:b/>
                <w:bCs/>
              </w:rPr>
            </w:pPr>
            <w:r w:rsidRPr="00985CC7">
              <w:rPr>
                <w:b/>
                <w:bCs/>
              </w:rPr>
              <w:t>Compensé (C) / Non compensé (NC)</w:t>
            </w:r>
          </w:p>
        </w:tc>
      </w:tr>
      <w:tr w:rsidR="00EE62E4" w:rsidRPr="00985CC7" w14:paraId="0D8F1C62" w14:textId="77777777" w:rsidTr="0031432A">
        <w:trPr>
          <w:trHeight w:val="630"/>
        </w:trPr>
        <w:tc>
          <w:tcPr>
            <w:tcW w:w="2689" w:type="dxa"/>
            <w:noWrap/>
            <w:vAlign w:val="center"/>
            <w:hideMark/>
          </w:tcPr>
          <w:p w14:paraId="338CF26C" w14:textId="77777777" w:rsidR="00EE62E4" w:rsidRPr="00985CC7" w:rsidRDefault="00EE62E4" w:rsidP="0031432A">
            <w:pPr>
              <w:jc w:val="center"/>
            </w:pPr>
            <w:r w:rsidRPr="00985CC7">
              <w:t>(1)</w:t>
            </w:r>
          </w:p>
        </w:tc>
        <w:tc>
          <w:tcPr>
            <w:tcW w:w="4995" w:type="dxa"/>
            <w:noWrap/>
            <w:vAlign w:val="center"/>
            <w:hideMark/>
          </w:tcPr>
          <w:p w14:paraId="413CE656" w14:textId="6C7DDB1C" w:rsidR="00EE62E4" w:rsidRPr="00985CC7" w:rsidRDefault="00EE62E4" w:rsidP="0031432A">
            <w:pPr>
              <w:jc w:val="center"/>
            </w:pPr>
            <w:r w:rsidRPr="00985CC7">
              <w:t>Coût des allègements généraux et des exonérations ciblées compensées – champ ROBSS</w:t>
            </w:r>
            <w:r w:rsidR="00AD52F5">
              <w:t>*</w:t>
            </w:r>
          </w:p>
        </w:tc>
        <w:tc>
          <w:tcPr>
            <w:tcW w:w="1944" w:type="dxa"/>
            <w:noWrap/>
            <w:vAlign w:val="center"/>
            <w:hideMark/>
          </w:tcPr>
          <w:p w14:paraId="585D478F" w14:textId="77777777" w:rsidR="00EE62E4" w:rsidRPr="00985CC7" w:rsidRDefault="00EE62E4" w:rsidP="0031432A">
            <w:pPr>
              <w:jc w:val="center"/>
            </w:pPr>
            <w:r w:rsidRPr="00985CC7">
              <w:t>C</w:t>
            </w:r>
          </w:p>
        </w:tc>
      </w:tr>
      <w:tr w:rsidR="00EE62E4" w:rsidRPr="00985CC7" w14:paraId="415D9AD8" w14:textId="77777777" w:rsidTr="0031432A">
        <w:trPr>
          <w:trHeight w:val="290"/>
        </w:trPr>
        <w:tc>
          <w:tcPr>
            <w:tcW w:w="2689" w:type="dxa"/>
            <w:noWrap/>
            <w:vAlign w:val="center"/>
            <w:hideMark/>
          </w:tcPr>
          <w:p w14:paraId="46409080" w14:textId="77777777" w:rsidR="00EE62E4" w:rsidRPr="00985CC7" w:rsidRDefault="00EE62E4" w:rsidP="0031432A">
            <w:pPr>
              <w:jc w:val="center"/>
            </w:pPr>
            <w:r w:rsidRPr="00985CC7">
              <w:t>(2)</w:t>
            </w:r>
          </w:p>
        </w:tc>
        <w:tc>
          <w:tcPr>
            <w:tcW w:w="4995" w:type="dxa"/>
            <w:noWrap/>
            <w:vAlign w:val="center"/>
            <w:hideMark/>
          </w:tcPr>
          <w:p w14:paraId="35F4617B" w14:textId="40184D24" w:rsidR="00EE62E4" w:rsidRPr="00985CC7" w:rsidRDefault="00EE62E4" w:rsidP="0031432A">
            <w:pPr>
              <w:jc w:val="center"/>
            </w:pPr>
            <w:r w:rsidRPr="00985CC7">
              <w:t>Coût des exonérations ciblées non compensées – champ ROBSS</w:t>
            </w:r>
            <w:r w:rsidR="00AD52F5">
              <w:t>*</w:t>
            </w:r>
          </w:p>
        </w:tc>
        <w:tc>
          <w:tcPr>
            <w:tcW w:w="1944" w:type="dxa"/>
            <w:noWrap/>
            <w:vAlign w:val="center"/>
            <w:hideMark/>
          </w:tcPr>
          <w:p w14:paraId="7B4C837F" w14:textId="77777777" w:rsidR="00EE62E4" w:rsidRPr="00985CC7" w:rsidRDefault="00EE62E4" w:rsidP="0031432A">
            <w:pPr>
              <w:jc w:val="center"/>
            </w:pPr>
            <w:r w:rsidRPr="00985CC7">
              <w:t>NC</w:t>
            </w:r>
          </w:p>
        </w:tc>
      </w:tr>
      <w:tr w:rsidR="00EE62E4" w:rsidRPr="00985CC7" w14:paraId="5CD93BC9" w14:textId="77777777" w:rsidTr="0031432A">
        <w:trPr>
          <w:trHeight w:val="450"/>
        </w:trPr>
        <w:tc>
          <w:tcPr>
            <w:tcW w:w="2689" w:type="dxa"/>
            <w:noWrap/>
            <w:vAlign w:val="center"/>
            <w:hideMark/>
          </w:tcPr>
          <w:p w14:paraId="3F0A261D" w14:textId="77777777" w:rsidR="00EE62E4" w:rsidRPr="00985CC7" w:rsidRDefault="00EE62E4" w:rsidP="0031432A">
            <w:pPr>
              <w:jc w:val="center"/>
            </w:pPr>
            <w:r w:rsidRPr="00985CC7">
              <w:t>(3)</w:t>
            </w:r>
          </w:p>
        </w:tc>
        <w:tc>
          <w:tcPr>
            <w:tcW w:w="4995" w:type="dxa"/>
            <w:noWrap/>
            <w:vAlign w:val="center"/>
            <w:hideMark/>
          </w:tcPr>
          <w:p w14:paraId="0364F19E" w14:textId="7F5435BE" w:rsidR="00EE62E4" w:rsidRPr="00985CC7" w:rsidRDefault="00EE62E4" w:rsidP="0031432A">
            <w:pPr>
              <w:jc w:val="center"/>
            </w:pPr>
            <w:r w:rsidRPr="00985CC7">
              <w:t>Coût des allègements généraux et des exonérations ciblées compensées et non compensées – champ hors ROBSS</w:t>
            </w:r>
            <w:r w:rsidR="00AD52F5">
              <w:t>*</w:t>
            </w:r>
          </w:p>
        </w:tc>
        <w:tc>
          <w:tcPr>
            <w:tcW w:w="1944" w:type="dxa"/>
            <w:noWrap/>
            <w:vAlign w:val="center"/>
            <w:hideMark/>
          </w:tcPr>
          <w:p w14:paraId="5295EE06" w14:textId="0209079C" w:rsidR="00EE62E4" w:rsidRPr="00985CC7" w:rsidRDefault="00AE738F" w:rsidP="0031432A">
            <w:pPr>
              <w:jc w:val="center"/>
            </w:pPr>
            <w:r>
              <w:t>(mélange de C et NC)</w:t>
            </w:r>
          </w:p>
        </w:tc>
      </w:tr>
      <w:tr w:rsidR="00EE62E4" w:rsidRPr="00985CC7" w14:paraId="0BE63332" w14:textId="77777777" w:rsidTr="0031432A">
        <w:trPr>
          <w:trHeight w:val="450"/>
        </w:trPr>
        <w:tc>
          <w:tcPr>
            <w:tcW w:w="2689" w:type="dxa"/>
            <w:noWrap/>
            <w:vAlign w:val="center"/>
            <w:hideMark/>
          </w:tcPr>
          <w:p w14:paraId="14D78588" w14:textId="77777777" w:rsidR="00EE62E4" w:rsidRPr="00985CC7" w:rsidRDefault="00EE62E4" w:rsidP="006558B9">
            <w:pPr>
              <w:jc w:val="center"/>
            </w:pPr>
            <w:r w:rsidRPr="00985CC7">
              <w:t>(3AG)</w:t>
            </w:r>
          </w:p>
        </w:tc>
        <w:tc>
          <w:tcPr>
            <w:tcW w:w="4995" w:type="dxa"/>
            <w:noWrap/>
            <w:vAlign w:val="center"/>
            <w:hideMark/>
          </w:tcPr>
          <w:p w14:paraId="2B2A8162" w14:textId="624A05B0" w:rsidR="00EE62E4" w:rsidRPr="00985CC7" w:rsidRDefault="00EE62E4" w:rsidP="0031432A">
            <w:pPr>
              <w:jc w:val="center"/>
            </w:pPr>
            <w:r w:rsidRPr="00985CC7">
              <w:t>AG</w:t>
            </w:r>
            <w:r w:rsidR="00F53261">
              <w:t xml:space="preserve"> </w:t>
            </w:r>
            <w:r w:rsidRPr="00985CC7">
              <w:t>: Allégements généraux</w:t>
            </w:r>
          </w:p>
        </w:tc>
        <w:tc>
          <w:tcPr>
            <w:tcW w:w="1944" w:type="dxa"/>
            <w:noWrap/>
            <w:vAlign w:val="center"/>
            <w:hideMark/>
          </w:tcPr>
          <w:p w14:paraId="18B25150" w14:textId="77777777" w:rsidR="00EE62E4" w:rsidRPr="00985CC7" w:rsidRDefault="00EE62E4" w:rsidP="0031432A">
            <w:pPr>
              <w:jc w:val="center"/>
            </w:pPr>
            <w:r w:rsidRPr="00985CC7">
              <w:t>NC</w:t>
            </w:r>
          </w:p>
        </w:tc>
      </w:tr>
      <w:tr w:rsidR="00EE62E4" w:rsidRPr="00985CC7" w14:paraId="4EE81400" w14:textId="77777777" w:rsidTr="0031432A">
        <w:trPr>
          <w:trHeight w:val="470"/>
        </w:trPr>
        <w:tc>
          <w:tcPr>
            <w:tcW w:w="2689" w:type="dxa"/>
            <w:noWrap/>
            <w:vAlign w:val="center"/>
            <w:hideMark/>
          </w:tcPr>
          <w:p w14:paraId="1946C36F" w14:textId="77777777" w:rsidR="00EE62E4" w:rsidRPr="00985CC7" w:rsidRDefault="00EE62E4" w:rsidP="006558B9">
            <w:pPr>
              <w:jc w:val="center"/>
            </w:pPr>
            <w:r w:rsidRPr="00985CC7">
              <w:t>(3EC)</w:t>
            </w:r>
          </w:p>
        </w:tc>
        <w:tc>
          <w:tcPr>
            <w:tcW w:w="4995" w:type="dxa"/>
            <w:noWrap/>
            <w:vAlign w:val="center"/>
            <w:hideMark/>
          </w:tcPr>
          <w:p w14:paraId="4AC42AA0" w14:textId="77777777" w:rsidR="00EE62E4" w:rsidRPr="00985CC7" w:rsidRDefault="00EE62E4" w:rsidP="0031432A">
            <w:pPr>
              <w:jc w:val="center"/>
            </w:pPr>
            <w:r w:rsidRPr="00985CC7">
              <w:t>EC : Exonérations compensées</w:t>
            </w:r>
          </w:p>
        </w:tc>
        <w:tc>
          <w:tcPr>
            <w:tcW w:w="1944" w:type="dxa"/>
            <w:noWrap/>
            <w:vAlign w:val="center"/>
            <w:hideMark/>
          </w:tcPr>
          <w:p w14:paraId="62A429E5" w14:textId="77777777" w:rsidR="00EE62E4" w:rsidRPr="00985CC7" w:rsidRDefault="00EE62E4" w:rsidP="0031432A">
            <w:pPr>
              <w:jc w:val="center"/>
            </w:pPr>
            <w:r w:rsidRPr="00985CC7">
              <w:t>C</w:t>
            </w:r>
          </w:p>
        </w:tc>
      </w:tr>
      <w:tr w:rsidR="00EE62E4" w:rsidRPr="00985CC7" w14:paraId="0E8933CA" w14:textId="77777777" w:rsidTr="0031432A">
        <w:trPr>
          <w:trHeight w:val="450"/>
        </w:trPr>
        <w:tc>
          <w:tcPr>
            <w:tcW w:w="2689" w:type="dxa"/>
            <w:noWrap/>
            <w:vAlign w:val="center"/>
            <w:hideMark/>
          </w:tcPr>
          <w:p w14:paraId="38542DBA" w14:textId="77777777" w:rsidR="00EE62E4" w:rsidRPr="00985CC7" w:rsidRDefault="00EE62E4" w:rsidP="006558B9">
            <w:pPr>
              <w:jc w:val="center"/>
            </w:pPr>
            <w:r w:rsidRPr="00985CC7">
              <w:t>(3ENC)</w:t>
            </w:r>
          </w:p>
        </w:tc>
        <w:tc>
          <w:tcPr>
            <w:tcW w:w="4995" w:type="dxa"/>
            <w:noWrap/>
            <w:vAlign w:val="center"/>
            <w:hideMark/>
          </w:tcPr>
          <w:p w14:paraId="106AF75D" w14:textId="77777777" w:rsidR="00EE62E4" w:rsidRPr="00985CC7" w:rsidRDefault="00EE62E4" w:rsidP="0031432A">
            <w:pPr>
              <w:jc w:val="center"/>
            </w:pPr>
            <w:r w:rsidRPr="00985CC7">
              <w:t>ENC : Exonérations non compensées</w:t>
            </w:r>
          </w:p>
        </w:tc>
        <w:tc>
          <w:tcPr>
            <w:tcW w:w="1944" w:type="dxa"/>
            <w:noWrap/>
            <w:vAlign w:val="center"/>
            <w:hideMark/>
          </w:tcPr>
          <w:p w14:paraId="72A06680" w14:textId="77777777" w:rsidR="00EE62E4" w:rsidRPr="00985CC7" w:rsidRDefault="00EE62E4" w:rsidP="0031432A">
            <w:pPr>
              <w:jc w:val="center"/>
            </w:pPr>
            <w:r w:rsidRPr="00985CC7">
              <w:t>NC</w:t>
            </w:r>
          </w:p>
        </w:tc>
      </w:tr>
      <w:tr w:rsidR="00EE62E4" w:rsidRPr="00985CC7" w14:paraId="71872CBD" w14:textId="77777777" w:rsidTr="0031432A">
        <w:trPr>
          <w:trHeight w:val="400"/>
        </w:trPr>
        <w:tc>
          <w:tcPr>
            <w:tcW w:w="2689" w:type="dxa"/>
            <w:noWrap/>
            <w:vAlign w:val="center"/>
            <w:hideMark/>
          </w:tcPr>
          <w:p w14:paraId="40948674" w14:textId="77777777" w:rsidR="00EE62E4" w:rsidRPr="00985CC7" w:rsidRDefault="00EE62E4" w:rsidP="0031432A">
            <w:pPr>
              <w:jc w:val="center"/>
            </w:pPr>
            <w:r w:rsidRPr="00985CC7">
              <w:t>(4)</w:t>
            </w:r>
          </w:p>
        </w:tc>
        <w:tc>
          <w:tcPr>
            <w:tcW w:w="4995" w:type="dxa"/>
            <w:noWrap/>
            <w:vAlign w:val="center"/>
            <w:hideMark/>
          </w:tcPr>
          <w:p w14:paraId="1CF6E137" w14:textId="3B373ADE" w:rsidR="00EE62E4" w:rsidRPr="00985CC7" w:rsidRDefault="00EE62E4" w:rsidP="0031432A">
            <w:pPr>
              <w:jc w:val="center"/>
            </w:pPr>
            <w:r w:rsidRPr="00985CC7">
              <w:t xml:space="preserve">Coût des exonérations relatives à la crise de la </w:t>
            </w:r>
            <w:r w:rsidR="00DC15B9">
              <w:t>COVID</w:t>
            </w:r>
            <w:r w:rsidRPr="00985CC7">
              <w:t>-19 – champ ROBSS et hors ROBSS</w:t>
            </w:r>
            <w:r w:rsidR="00AD52F5">
              <w:t>*</w:t>
            </w:r>
          </w:p>
        </w:tc>
        <w:tc>
          <w:tcPr>
            <w:tcW w:w="1944" w:type="dxa"/>
            <w:noWrap/>
            <w:vAlign w:val="center"/>
            <w:hideMark/>
          </w:tcPr>
          <w:p w14:paraId="462AC2FD" w14:textId="77777777" w:rsidR="00EE62E4" w:rsidRPr="00985CC7" w:rsidRDefault="00EE62E4" w:rsidP="0031432A">
            <w:pPr>
              <w:jc w:val="center"/>
            </w:pPr>
            <w:r w:rsidRPr="00985CC7">
              <w:t>C</w:t>
            </w:r>
          </w:p>
        </w:tc>
      </w:tr>
      <w:tr w:rsidR="00EE62E4" w:rsidRPr="00985CC7" w14:paraId="5F3D6993" w14:textId="77777777" w:rsidTr="0031432A">
        <w:trPr>
          <w:trHeight w:val="510"/>
        </w:trPr>
        <w:tc>
          <w:tcPr>
            <w:tcW w:w="2689" w:type="dxa"/>
            <w:noWrap/>
            <w:vAlign w:val="center"/>
            <w:hideMark/>
          </w:tcPr>
          <w:p w14:paraId="69CC3DC7" w14:textId="77777777" w:rsidR="00EE62E4" w:rsidRPr="00985CC7" w:rsidRDefault="00EE62E4" w:rsidP="0031432A">
            <w:pPr>
              <w:jc w:val="center"/>
            </w:pPr>
            <w:r w:rsidRPr="00985CC7">
              <w:t>(5)</w:t>
            </w:r>
          </w:p>
        </w:tc>
        <w:tc>
          <w:tcPr>
            <w:tcW w:w="4995" w:type="dxa"/>
            <w:noWrap/>
            <w:vAlign w:val="center"/>
            <w:hideMark/>
          </w:tcPr>
          <w:p w14:paraId="5B6AE384" w14:textId="77777777" w:rsidR="00EE62E4" w:rsidRPr="00985CC7" w:rsidRDefault="00EE62E4" w:rsidP="0031432A">
            <w:pPr>
              <w:jc w:val="center"/>
            </w:pPr>
            <w:r w:rsidRPr="00985CC7">
              <w:t>Coût total des exemptions d’assiette (montant des pertes de cotisations), en M€</w:t>
            </w:r>
          </w:p>
        </w:tc>
        <w:tc>
          <w:tcPr>
            <w:tcW w:w="1944" w:type="dxa"/>
            <w:noWrap/>
            <w:vAlign w:val="center"/>
            <w:hideMark/>
          </w:tcPr>
          <w:p w14:paraId="2EA73232" w14:textId="77777777" w:rsidR="00EE62E4" w:rsidRPr="00985CC7" w:rsidRDefault="00EE62E4" w:rsidP="0031432A">
            <w:pPr>
              <w:jc w:val="center"/>
            </w:pPr>
            <w:r w:rsidRPr="00985CC7">
              <w:t>NC</w:t>
            </w:r>
          </w:p>
        </w:tc>
      </w:tr>
    </w:tbl>
    <w:p w14:paraId="3AAFB552" w14:textId="77777777" w:rsidR="00EE62E4" w:rsidRPr="00002A00" w:rsidRDefault="00EE62E4" w:rsidP="00002A00"/>
    <w:p w14:paraId="6BC8AE19" w14:textId="1E324DA1" w:rsidR="00AD52F5" w:rsidRDefault="00AD52F5" w:rsidP="00AD52F5">
      <w:r>
        <w:rPr>
          <w:b/>
          <w:bCs/>
        </w:rPr>
        <w:t xml:space="preserve">* ROBSS : </w:t>
      </w:r>
      <w:r w:rsidR="00264F77" w:rsidRPr="00264F77">
        <w:t>R</w:t>
      </w:r>
      <w:r w:rsidRPr="00264F77">
        <w:t xml:space="preserve">égimes </w:t>
      </w:r>
      <w:r w:rsidR="00264F77" w:rsidRPr="00264F77">
        <w:t>O</w:t>
      </w:r>
      <w:r w:rsidRPr="00264F77">
        <w:t xml:space="preserve">bligatoires de </w:t>
      </w:r>
      <w:r w:rsidR="00264F77" w:rsidRPr="00264F77">
        <w:t>B</w:t>
      </w:r>
      <w:r w:rsidRPr="00264F77">
        <w:t xml:space="preserve">ase de la </w:t>
      </w:r>
      <w:r w:rsidR="00264F77" w:rsidRPr="00264F77">
        <w:t>S</w:t>
      </w:r>
      <w:r w:rsidRPr="00264F77">
        <w:t xml:space="preserve">écurité </w:t>
      </w:r>
      <w:r w:rsidR="00264F77" w:rsidRPr="00264F77">
        <w:t>S</w:t>
      </w:r>
      <w:r w:rsidRPr="00264F77">
        <w:t>ociale</w:t>
      </w:r>
      <w:r w:rsidR="00264F77" w:rsidRPr="00264F77">
        <w:t xml:space="preserve">. </w:t>
      </w:r>
    </w:p>
    <w:p w14:paraId="2932CCDB" w14:textId="2F75AD9C" w:rsidR="003D1F1E" w:rsidRDefault="003D1F1E" w:rsidP="00844CB0">
      <w:r>
        <w:t xml:space="preserve">La présentation et les noms utilisés peuvent cependant varier d’une année sur l’autre. Nous </w:t>
      </w:r>
      <w:r w:rsidR="00F336CC">
        <w:t xml:space="preserve">les </w:t>
      </w:r>
      <w:r>
        <w:t xml:space="preserve">avons </w:t>
      </w:r>
      <w:r w:rsidR="00385E06">
        <w:t>harmonisés et</w:t>
      </w:r>
      <w:r w:rsidR="002A2F83">
        <w:t xml:space="preserve"> leur avons attribué un numéro : </w:t>
      </w:r>
      <w:r>
        <w:t xml:space="preserve">(1) à (5). </w:t>
      </w:r>
    </w:p>
    <w:p w14:paraId="4D73EBB8" w14:textId="40A64BB5" w:rsidR="00F75A52" w:rsidRDefault="003D1F1E" w:rsidP="00844CB0">
      <w:r>
        <w:t xml:space="preserve">Nous avons </w:t>
      </w:r>
      <w:r w:rsidR="002A2F83">
        <w:t xml:space="preserve">également </w:t>
      </w:r>
      <w:r>
        <w:t>distingué la catégorie mixte (3), qui regroupe des mesures compensées et non compensées, en 3 sous-catégories.</w:t>
      </w:r>
      <w:r w:rsidR="006558B9">
        <w:t xml:space="preserve"> </w:t>
      </w:r>
      <w:r w:rsidR="00F75A52">
        <w:t>De façon générale :</w:t>
      </w:r>
    </w:p>
    <w:p w14:paraId="1AD702CB" w14:textId="63915D44" w:rsidR="00F75A52" w:rsidRDefault="00844CB0">
      <w:pPr>
        <w:pStyle w:val="Paragraphedeliste"/>
        <w:numPr>
          <w:ilvl w:val="0"/>
          <w:numId w:val="24"/>
        </w:numPr>
      </w:pPr>
      <w:r>
        <w:t xml:space="preserve">Les </w:t>
      </w:r>
      <w:r w:rsidRPr="00F75A52">
        <w:rPr>
          <w:b/>
          <w:bCs/>
        </w:rPr>
        <w:t>exonérations de cotisation</w:t>
      </w:r>
      <w:r>
        <w:t xml:space="preserve"> peuvent être compensées ou non compensées</w:t>
      </w:r>
      <w:r w:rsidR="00EB0DF7">
        <w:t> ;</w:t>
      </w:r>
    </w:p>
    <w:p w14:paraId="7FC97AD8" w14:textId="779AEFC4" w:rsidR="00F75A52" w:rsidRDefault="00844CB0">
      <w:pPr>
        <w:pStyle w:val="Paragraphedeliste"/>
        <w:numPr>
          <w:ilvl w:val="0"/>
          <w:numId w:val="24"/>
        </w:numPr>
      </w:pPr>
      <w:r>
        <w:t xml:space="preserve">Les </w:t>
      </w:r>
      <w:r w:rsidRPr="00F75A52">
        <w:rPr>
          <w:b/>
          <w:bCs/>
        </w:rPr>
        <w:t>allègements généraux</w:t>
      </w:r>
      <w:r>
        <w:t xml:space="preserve"> ne sont pas compensés</w:t>
      </w:r>
      <w:r w:rsidR="00EB0DF7">
        <w:t> ;</w:t>
      </w:r>
    </w:p>
    <w:p w14:paraId="1F98EDFE" w14:textId="54089D0C" w:rsidR="00844CB0" w:rsidRDefault="00844CB0">
      <w:pPr>
        <w:pStyle w:val="Paragraphedeliste"/>
        <w:numPr>
          <w:ilvl w:val="0"/>
          <w:numId w:val="24"/>
        </w:numPr>
      </w:pPr>
      <w:r>
        <w:lastRenderedPageBreak/>
        <w:t xml:space="preserve">Les </w:t>
      </w:r>
      <w:r w:rsidRPr="00F75A52">
        <w:rPr>
          <w:b/>
          <w:bCs/>
        </w:rPr>
        <w:t>exemptions d’assiette</w:t>
      </w:r>
      <w:r>
        <w:t> </w:t>
      </w:r>
      <w:r w:rsidRPr="00D06365">
        <w:t>ne donnent généralement pas lieu à compensation par le budget de l’État</w:t>
      </w:r>
      <w:r w:rsidR="00117A92">
        <w:rPr>
          <w:rStyle w:val="Appelnotedebasdep"/>
        </w:rPr>
        <w:footnoteReference w:id="9"/>
      </w:r>
      <w:r w:rsidRPr="00D06365">
        <w:t>.</w:t>
      </w:r>
      <w:r>
        <w:t xml:space="preserve"> </w:t>
      </w:r>
    </w:p>
    <w:p w14:paraId="7218936E" w14:textId="18603FC7" w:rsidR="00152D82" w:rsidRDefault="009F7E90" w:rsidP="00AD52F5">
      <w:r>
        <w:t>L</w:t>
      </w:r>
      <w:r w:rsidR="00F53261">
        <w:t xml:space="preserve">es dépenses </w:t>
      </w:r>
      <w:r>
        <w:t>comptabilisées dans le cadre de cette étude</w:t>
      </w:r>
      <w:r w:rsidR="00ED605F">
        <w:t xml:space="preserve"> concern</w:t>
      </w:r>
      <w:r>
        <w:t>e</w:t>
      </w:r>
      <w:r w:rsidR="00ED605F">
        <w:t xml:space="preserve">nt </w:t>
      </w:r>
      <w:r w:rsidR="002F4FA7">
        <w:t xml:space="preserve">uniquement ou </w:t>
      </w:r>
      <w:r w:rsidR="00ED605F">
        <w:t>notamment le système alimentaire</w:t>
      </w:r>
      <w:r w:rsidR="006217DA">
        <w:t>. Elles</w:t>
      </w:r>
      <w:r w:rsidR="00F53261">
        <w:t xml:space="preserve"> sont listées ci-dessous</w:t>
      </w:r>
      <w:r w:rsidR="006217DA">
        <w:t>, s</w:t>
      </w:r>
      <w:r>
        <w:t>elon cette catégorisation</w:t>
      </w:r>
      <w:r w:rsidR="006217DA">
        <w:t xml:space="preserve"> précédente.</w:t>
      </w:r>
    </w:p>
    <w:tbl>
      <w:tblPr>
        <w:tblStyle w:val="Grilledutableau"/>
        <w:tblW w:w="0" w:type="auto"/>
        <w:tblLook w:val="04A0" w:firstRow="1" w:lastRow="0" w:firstColumn="1" w:lastColumn="0" w:noHBand="0" w:noVBand="1"/>
      </w:tblPr>
      <w:tblGrid>
        <w:gridCol w:w="3604"/>
        <w:gridCol w:w="2061"/>
        <w:gridCol w:w="2384"/>
        <w:gridCol w:w="1579"/>
      </w:tblGrid>
      <w:tr w:rsidR="00612BC3" w:rsidRPr="00627E04" w14:paraId="05E5ACCB" w14:textId="19A5F407" w:rsidTr="00C97BCD">
        <w:trPr>
          <w:trHeight w:val="310"/>
        </w:trPr>
        <w:tc>
          <w:tcPr>
            <w:tcW w:w="3604" w:type="dxa"/>
            <w:shd w:val="clear" w:color="auto" w:fill="000000" w:themeFill="text1"/>
            <w:noWrap/>
            <w:vAlign w:val="center"/>
            <w:hideMark/>
          </w:tcPr>
          <w:p w14:paraId="1506955D" w14:textId="700F6D60" w:rsidR="00612BC3" w:rsidRPr="00627E04" w:rsidRDefault="00612BC3" w:rsidP="0031432A">
            <w:pPr>
              <w:jc w:val="center"/>
              <w:rPr>
                <w:b/>
                <w:bCs/>
              </w:rPr>
            </w:pPr>
            <w:r w:rsidRPr="00627E04">
              <w:rPr>
                <w:b/>
                <w:bCs/>
              </w:rPr>
              <w:t>Dépenses</w:t>
            </w:r>
            <w:r>
              <w:rPr>
                <w:b/>
                <w:bCs/>
              </w:rPr>
              <w:t xml:space="preserve"> </w:t>
            </w:r>
            <w:r w:rsidRPr="00627E04">
              <w:rPr>
                <w:b/>
                <w:bCs/>
              </w:rPr>
              <w:t>100% pour le système alimentaire</w:t>
            </w:r>
          </w:p>
        </w:tc>
        <w:tc>
          <w:tcPr>
            <w:tcW w:w="2061" w:type="dxa"/>
            <w:shd w:val="clear" w:color="auto" w:fill="000000" w:themeFill="text1"/>
            <w:noWrap/>
            <w:vAlign w:val="center"/>
            <w:hideMark/>
          </w:tcPr>
          <w:p w14:paraId="389CBE91" w14:textId="77777777" w:rsidR="00612BC3" w:rsidRPr="00627E04" w:rsidRDefault="00612BC3" w:rsidP="0031432A">
            <w:pPr>
              <w:jc w:val="center"/>
              <w:rPr>
                <w:b/>
                <w:bCs/>
              </w:rPr>
            </w:pPr>
            <w:r w:rsidRPr="00627E04">
              <w:rPr>
                <w:b/>
                <w:bCs/>
              </w:rPr>
              <w:t>Catégorie de coûts</w:t>
            </w:r>
          </w:p>
        </w:tc>
        <w:tc>
          <w:tcPr>
            <w:tcW w:w="2384" w:type="dxa"/>
            <w:shd w:val="clear" w:color="auto" w:fill="000000" w:themeFill="text1"/>
            <w:noWrap/>
            <w:vAlign w:val="center"/>
            <w:hideMark/>
          </w:tcPr>
          <w:p w14:paraId="704799D6" w14:textId="77777777" w:rsidR="00612BC3" w:rsidRPr="00627E04" w:rsidRDefault="00612BC3" w:rsidP="0031432A">
            <w:pPr>
              <w:jc w:val="center"/>
              <w:rPr>
                <w:b/>
                <w:bCs/>
              </w:rPr>
            </w:pPr>
            <w:r w:rsidRPr="00627E04">
              <w:rPr>
                <w:b/>
                <w:bCs/>
              </w:rPr>
              <w:t>Nom code</w:t>
            </w:r>
          </w:p>
        </w:tc>
        <w:tc>
          <w:tcPr>
            <w:tcW w:w="1579" w:type="dxa"/>
            <w:shd w:val="clear" w:color="auto" w:fill="000000" w:themeFill="text1"/>
            <w:vAlign w:val="center"/>
          </w:tcPr>
          <w:p w14:paraId="0E8F7674" w14:textId="76AAB0B2" w:rsidR="00612BC3" w:rsidRPr="00627E04" w:rsidRDefault="00612BC3" w:rsidP="0031432A">
            <w:pPr>
              <w:jc w:val="center"/>
              <w:rPr>
                <w:b/>
                <w:bCs/>
              </w:rPr>
            </w:pPr>
            <w:r w:rsidRPr="00985CC7">
              <w:rPr>
                <w:b/>
                <w:bCs/>
              </w:rPr>
              <w:t>Compensé (C) / Non compensé (NC)</w:t>
            </w:r>
          </w:p>
        </w:tc>
      </w:tr>
      <w:tr w:rsidR="00612BC3" w:rsidRPr="00627E04" w14:paraId="668AE740" w14:textId="7C922993" w:rsidTr="0031432A">
        <w:trPr>
          <w:trHeight w:val="433"/>
        </w:trPr>
        <w:tc>
          <w:tcPr>
            <w:tcW w:w="3604" w:type="dxa"/>
            <w:noWrap/>
            <w:vAlign w:val="center"/>
            <w:hideMark/>
          </w:tcPr>
          <w:p w14:paraId="57229993" w14:textId="77777777" w:rsidR="00612BC3" w:rsidRPr="00627E04" w:rsidRDefault="00612BC3" w:rsidP="0031432A">
            <w:pPr>
              <w:jc w:val="center"/>
            </w:pPr>
            <w:r w:rsidRPr="00627E04">
              <w:t>Contrat de professionnalisation et contrats de formation agricole</w:t>
            </w:r>
          </w:p>
        </w:tc>
        <w:tc>
          <w:tcPr>
            <w:tcW w:w="2061" w:type="dxa"/>
            <w:vAlign w:val="center"/>
            <w:hideMark/>
          </w:tcPr>
          <w:p w14:paraId="656A6E39" w14:textId="77777777" w:rsidR="00612BC3" w:rsidRPr="00627E04" w:rsidRDefault="00612BC3" w:rsidP="0031432A">
            <w:pPr>
              <w:jc w:val="center"/>
            </w:pPr>
            <w:r w:rsidRPr="00627E04">
              <w:t>(1)</w:t>
            </w:r>
          </w:p>
        </w:tc>
        <w:tc>
          <w:tcPr>
            <w:tcW w:w="2384" w:type="dxa"/>
            <w:noWrap/>
            <w:vAlign w:val="center"/>
            <w:hideMark/>
          </w:tcPr>
          <w:p w14:paraId="3F136809" w14:textId="77777777" w:rsidR="00612BC3" w:rsidRPr="00627E04" w:rsidRDefault="00612BC3" w:rsidP="0031432A">
            <w:pPr>
              <w:jc w:val="center"/>
            </w:pPr>
            <w:r w:rsidRPr="00627E04">
              <w:t>PROF</w:t>
            </w:r>
          </w:p>
        </w:tc>
        <w:tc>
          <w:tcPr>
            <w:tcW w:w="1579" w:type="dxa"/>
            <w:vAlign w:val="center"/>
          </w:tcPr>
          <w:p w14:paraId="0E51EE8E" w14:textId="3A340CA7" w:rsidR="00612BC3" w:rsidRPr="00627E04" w:rsidRDefault="00336216" w:rsidP="0031432A">
            <w:pPr>
              <w:jc w:val="center"/>
            </w:pPr>
            <w:r>
              <w:t>C</w:t>
            </w:r>
          </w:p>
        </w:tc>
      </w:tr>
      <w:tr w:rsidR="00612BC3" w:rsidRPr="00627E04" w14:paraId="77D4A3C5" w14:textId="2A6781CB" w:rsidTr="0031432A">
        <w:trPr>
          <w:trHeight w:val="943"/>
        </w:trPr>
        <w:tc>
          <w:tcPr>
            <w:tcW w:w="3604" w:type="dxa"/>
            <w:noWrap/>
            <w:vAlign w:val="center"/>
            <w:hideMark/>
          </w:tcPr>
          <w:p w14:paraId="79D6751D" w14:textId="62A7889A" w:rsidR="00612BC3" w:rsidRPr="00627E04" w:rsidRDefault="00612BC3" w:rsidP="0031432A">
            <w:pPr>
              <w:jc w:val="center"/>
            </w:pPr>
            <w:r w:rsidRPr="00627E04">
              <w:t>Exonération travailleurs occasionnels demandeurs d'emploi</w:t>
            </w:r>
            <w:r w:rsidR="00265A3A">
              <w:t xml:space="preserve"> TODE</w:t>
            </w:r>
          </w:p>
        </w:tc>
        <w:tc>
          <w:tcPr>
            <w:tcW w:w="2061" w:type="dxa"/>
            <w:vAlign w:val="center"/>
            <w:hideMark/>
          </w:tcPr>
          <w:p w14:paraId="3357C4D5" w14:textId="77777777" w:rsidR="00612BC3" w:rsidRPr="00627E04" w:rsidRDefault="00612BC3" w:rsidP="0031432A">
            <w:pPr>
              <w:jc w:val="center"/>
            </w:pPr>
            <w:r w:rsidRPr="00627E04">
              <w:t>(1)</w:t>
            </w:r>
          </w:p>
        </w:tc>
        <w:tc>
          <w:tcPr>
            <w:tcW w:w="2384" w:type="dxa"/>
            <w:noWrap/>
            <w:vAlign w:val="center"/>
            <w:hideMark/>
          </w:tcPr>
          <w:p w14:paraId="4926FD6A" w14:textId="77777777" w:rsidR="00612BC3" w:rsidRPr="00627E04" w:rsidRDefault="00612BC3" w:rsidP="0031432A">
            <w:pPr>
              <w:jc w:val="center"/>
            </w:pPr>
            <w:r w:rsidRPr="00627E04">
              <w:t>TODE1</w:t>
            </w:r>
          </w:p>
        </w:tc>
        <w:tc>
          <w:tcPr>
            <w:tcW w:w="1579" w:type="dxa"/>
            <w:vAlign w:val="center"/>
          </w:tcPr>
          <w:p w14:paraId="5FEB0609" w14:textId="79D629C6" w:rsidR="00612BC3" w:rsidRPr="00627E04" w:rsidRDefault="00336216" w:rsidP="0031432A">
            <w:pPr>
              <w:jc w:val="center"/>
            </w:pPr>
            <w:r>
              <w:t>C</w:t>
            </w:r>
          </w:p>
        </w:tc>
      </w:tr>
      <w:tr w:rsidR="00612BC3" w:rsidRPr="00627E04" w14:paraId="162ADA81" w14:textId="09D8BB48" w:rsidTr="0031432A">
        <w:trPr>
          <w:trHeight w:val="740"/>
        </w:trPr>
        <w:tc>
          <w:tcPr>
            <w:tcW w:w="3604" w:type="dxa"/>
            <w:noWrap/>
            <w:vAlign w:val="center"/>
            <w:hideMark/>
          </w:tcPr>
          <w:p w14:paraId="339BBBB9" w14:textId="3AD2236A" w:rsidR="00612BC3" w:rsidRPr="00627E04" w:rsidRDefault="00612BC3" w:rsidP="0031432A">
            <w:pPr>
              <w:jc w:val="center"/>
            </w:pPr>
            <w:r w:rsidRPr="00627E04">
              <w:t>Exonération travailleurs occasionnels demandeurs d'emploi</w:t>
            </w:r>
            <w:r w:rsidR="00265A3A">
              <w:t xml:space="preserve"> TODE</w:t>
            </w:r>
          </w:p>
        </w:tc>
        <w:tc>
          <w:tcPr>
            <w:tcW w:w="2061" w:type="dxa"/>
            <w:vAlign w:val="center"/>
            <w:hideMark/>
          </w:tcPr>
          <w:p w14:paraId="787D651F" w14:textId="77777777" w:rsidR="00612BC3" w:rsidRPr="00627E04" w:rsidRDefault="00612BC3" w:rsidP="0031432A">
            <w:pPr>
              <w:jc w:val="center"/>
            </w:pPr>
            <w:r w:rsidRPr="00627E04">
              <w:t>(3EC)</w:t>
            </w:r>
          </w:p>
        </w:tc>
        <w:tc>
          <w:tcPr>
            <w:tcW w:w="2384" w:type="dxa"/>
            <w:noWrap/>
            <w:vAlign w:val="center"/>
            <w:hideMark/>
          </w:tcPr>
          <w:p w14:paraId="7D9D49F3" w14:textId="77777777" w:rsidR="00612BC3" w:rsidRPr="00627E04" w:rsidRDefault="00612BC3" w:rsidP="0031432A">
            <w:pPr>
              <w:jc w:val="center"/>
            </w:pPr>
            <w:r w:rsidRPr="00627E04">
              <w:t>TODE3</w:t>
            </w:r>
          </w:p>
        </w:tc>
        <w:tc>
          <w:tcPr>
            <w:tcW w:w="1579" w:type="dxa"/>
            <w:vAlign w:val="center"/>
          </w:tcPr>
          <w:p w14:paraId="5A955D92" w14:textId="280D793B" w:rsidR="00612BC3" w:rsidRPr="00627E04" w:rsidRDefault="00336216" w:rsidP="0031432A">
            <w:pPr>
              <w:jc w:val="center"/>
            </w:pPr>
            <w:r>
              <w:t>C</w:t>
            </w:r>
          </w:p>
        </w:tc>
      </w:tr>
      <w:tr w:rsidR="00612BC3" w:rsidRPr="00627E04" w14:paraId="77FD0FFF" w14:textId="6291F202" w:rsidTr="0031432A">
        <w:trPr>
          <w:trHeight w:val="463"/>
        </w:trPr>
        <w:tc>
          <w:tcPr>
            <w:tcW w:w="3604" w:type="dxa"/>
            <w:noWrap/>
            <w:vAlign w:val="center"/>
            <w:hideMark/>
          </w:tcPr>
          <w:p w14:paraId="050D37A5" w14:textId="10FE0A6F" w:rsidR="00612BC3" w:rsidRPr="00627E04" w:rsidRDefault="00612BC3" w:rsidP="0031432A">
            <w:pPr>
              <w:jc w:val="center"/>
            </w:pPr>
            <w:r w:rsidRPr="00627E04">
              <w:t>Exonération applicable aux viticulteurs</w:t>
            </w:r>
          </w:p>
        </w:tc>
        <w:tc>
          <w:tcPr>
            <w:tcW w:w="2061" w:type="dxa"/>
            <w:vAlign w:val="center"/>
            <w:hideMark/>
          </w:tcPr>
          <w:p w14:paraId="671C71EE" w14:textId="77777777" w:rsidR="00612BC3" w:rsidRPr="00627E04" w:rsidRDefault="00612BC3" w:rsidP="0031432A">
            <w:pPr>
              <w:jc w:val="center"/>
            </w:pPr>
            <w:r w:rsidRPr="00627E04">
              <w:t>(1)</w:t>
            </w:r>
          </w:p>
        </w:tc>
        <w:tc>
          <w:tcPr>
            <w:tcW w:w="2384" w:type="dxa"/>
            <w:noWrap/>
            <w:vAlign w:val="center"/>
            <w:hideMark/>
          </w:tcPr>
          <w:p w14:paraId="494BB21E" w14:textId="77777777" w:rsidR="00612BC3" w:rsidRPr="00627E04" w:rsidRDefault="00612BC3" w:rsidP="0031432A">
            <w:pPr>
              <w:jc w:val="center"/>
            </w:pPr>
            <w:r w:rsidRPr="00627E04">
              <w:t>VITI</w:t>
            </w:r>
          </w:p>
        </w:tc>
        <w:tc>
          <w:tcPr>
            <w:tcW w:w="1579" w:type="dxa"/>
            <w:vAlign w:val="center"/>
          </w:tcPr>
          <w:p w14:paraId="13FE13CA" w14:textId="27F0A048" w:rsidR="00612BC3" w:rsidRPr="00627E04" w:rsidRDefault="00336216" w:rsidP="0031432A">
            <w:pPr>
              <w:jc w:val="center"/>
            </w:pPr>
            <w:r>
              <w:t>C</w:t>
            </w:r>
          </w:p>
        </w:tc>
      </w:tr>
      <w:tr w:rsidR="00612BC3" w:rsidRPr="00627E04" w14:paraId="5398E833" w14:textId="38694F27" w:rsidTr="0031432A">
        <w:trPr>
          <w:trHeight w:val="493"/>
        </w:trPr>
        <w:tc>
          <w:tcPr>
            <w:tcW w:w="3604" w:type="dxa"/>
            <w:noWrap/>
            <w:vAlign w:val="center"/>
            <w:hideMark/>
          </w:tcPr>
          <w:p w14:paraId="425BA771" w14:textId="77777777" w:rsidR="00612BC3" w:rsidRPr="00627E04" w:rsidRDefault="00612BC3" w:rsidP="0031432A">
            <w:pPr>
              <w:jc w:val="center"/>
            </w:pPr>
            <w:r w:rsidRPr="00627E04">
              <w:t>Exonération en faveur de jeunes chefs d'exploitations agricoles</w:t>
            </w:r>
          </w:p>
        </w:tc>
        <w:tc>
          <w:tcPr>
            <w:tcW w:w="2061" w:type="dxa"/>
            <w:vAlign w:val="center"/>
            <w:hideMark/>
          </w:tcPr>
          <w:p w14:paraId="513372FD" w14:textId="77777777" w:rsidR="00612BC3" w:rsidRPr="00627E04" w:rsidRDefault="00612BC3" w:rsidP="0031432A">
            <w:pPr>
              <w:jc w:val="center"/>
            </w:pPr>
            <w:r w:rsidRPr="00627E04">
              <w:t>(2)</w:t>
            </w:r>
          </w:p>
        </w:tc>
        <w:tc>
          <w:tcPr>
            <w:tcW w:w="2384" w:type="dxa"/>
            <w:noWrap/>
            <w:vAlign w:val="center"/>
            <w:hideMark/>
          </w:tcPr>
          <w:p w14:paraId="3DCF450D" w14:textId="77777777" w:rsidR="00612BC3" w:rsidRPr="00627E04" w:rsidRDefault="00612BC3" w:rsidP="0031432A">
            <w:pPr>
              <w:jc w:val="center"/>
            </w:pPr>
            <w:r w:rsidRPr="00627E04">
              <w:t>JA</w:t>
            </w:r>
          </w:p>
        </w:tc>
        <w:tc>
          <w:tcPr>
            <w:tcW w:w="1579" w:type="dxa"/>
            <w:vAlign w:val="center"/>
          </w:tcPr>
          <w:p w14:paraId="3B0E58F2" w14:textId="52C1B095" w:rsidR="00612BC3" w:rsidRPr="00627E04" w:rsidRDefault="00336216" w:rsidP="0031432A">
            <w:pPr>
              <w:jc w:val="center"/>
            </w:pPr>
            <w:r>
              <w:t>NC</w:t>
            </w:r>
          </w:p>
        </w:tc>
      </w:tr>
      <w:tr w:rsidR="00612BC3" w:rsidRPr="00627E04" w14:paraId="087D97A9" w14:textId="020653FF" w:rsidTr="0031432A">
        <w:trPr>
          <w:trHeight w:val="433"/>
        </w:trPr>
        <w:tc>
          <w:tcPr>
            <w:tcW w:w="3604" w:type="dxa"/>
            <w:noWrap/>
            <w:vAlign w:val="center"/>
            <w:hideMark/>
          </w:tcPr>
          <w:p w14:paraId="2C10DC9F" w14:textId="77777777" w:rsidR="00612BC3" w:rsidRPr="00627E04" w:rsidRDefault="00612BC3" w:rsidP="0031432A">
            <w:pPr>
              <w:jc w:val="center"/>
            </w:pPr>
            <w:r w:rsidRPr="00627E04">
              <w:t>Titres restaurant</w:t>
            </w:r>
          </w:p>
        </w:tc>
        <w:tc>
          <w:tcPr>
            <w:tcW w:w="2061" w:type="dxa"/>
            <w:vAlign w:val="center"/>
            <w:hideMark/>
          </w:tcPr>
          <w:p w14:paraId="1DEC8F6A" w14:textId="77777777" w:rsidR="00612BC3" w:rsidRPr="00627E04" w:rsidRDefault="00612BC3" w:rsidP="0031432A">
            <w:pPr>
              <w:jc w:val="center"/>
            </w:pPr>
            <w:r w:rsidRPr="00627E04">
              <w:t>(5)</w:t>
            </w:r>
          </w:p>
        </w:tc>
        <w:tc>
          <w:tcPr>
            <w:tcW w:w="2384" w:type="dxa"/>
            <w:noWrap/>
            <w:vAlign w:val="center"/>
            <w:hideMark/>
          </w:tcPr>
          <w:p w14:paraId="17468C35" w14:textId="77777777" w:rsidR="00612BC3" w:rsidRPr="00627E04" w:rsidRDefault="00612BC3" w:rsidP="0031432A">
            <w:pPr>
              <w:jc w:val="center"/>
            </w:pPr>
            <w:r w:rsidRPr="00627E04">
              <w:t>TR</w:t>
            </w:r>
          </w:p>
        </w:tc>
        <w:tc>
          <w:tcPr>
            <w:tcW w:w="1579" w:type="dxa"/>
            <w:vAlign w:val="center"/>
          </w:tcPr>
          <w:p w14:paraId="47D120EC" w14:textId="782EEA53" w:rsidR="00612BC3" w:rsidRPr="00627E04" w:rsidRDefault="00336216" w:rsidP="0031432A">
            <w:pPr>
              <w:jc w:val="center"/>
            </w:pPr>
            <w:r>
              <w:t>NC</w:t>
            </w:r>
          </w:p>
        </w:tc>
      </w:tr>
      <w:tr w:rsidR="00612BC3" w:rsidRPr="00627E04" w14:paraId="76B71347" w14:textId="44E0CC3F" w:rsidTr="00C97BCD">
        <w:trPr>
          <w:trHeight w:val="290"/>
        </w:trPr>
        <w:tc>
          <w:tcPr>
            <w:tcW w:w="3604" w:type="dxa"/>
            <w:shd w:val="clear" w:color="auto" w:fill="000000" w:themeFill="text1"/>
            <w:noWrap/>
            <w:vAlign w:val="center"/>
            <w:hideMark/>
          </w:tcPr>
          <w:p w14:paraId="552FF008" w14:textId="1AE40260" w:rsidR="00612BC3" w:rsidRPr="00627E04" w:rsidRDefault="00612BC3" w:rsidP="0031432A">
            <w:pPr>
              <w:jc w:val="center"/>
            </w:pPr>
            <w:r w:rsidRPr="00627E04">
              <w:rPr>
                <w:b/>
                <w:bCs/>
              </w:rPr>
              <w:t>Dépenses à proratiser aux entreprises alimentaires</w:t>
            </w:r>
          </w:p>
        </w:tc>
        <w:tc>
          <w:tcPr>
            <w:tcW w:w="2061" w:type="dxa"/>
            <w:shd w:val="clear" w:color="auto" w:fill="000000" w:themeFill="text1"/>
            <w:vAlign w:val="center"/>
            <w:hideMark/>
          </w:tcPr>
          <w:p w14:paraId="2B18413E" w14:textId="1C8A4930" w:rsidR="00612BC3" w:rsidRPr="00627E04" w:rsidRDefault="00612BC3" w:rsidP="0031432A">
            <w:pPr>
              <w:jc w:val="center"/>
            </w:pPr>
            <w:r w:rsidRPr="00627E04">
              <w:rPr>
                <w:b/>
                <w:bCs/>
              </w:rPr>
              <w:t>Catégorie de coûts</w:t>
            </w:r>
          </w:p>
        </w:tc>
        <w:tc>
          <w:tcPr>
            <w:tcW w:w="2384" w:type="dxa"/>
            <w:shd w:val="clear" w:color="auto" w:fill="000000" w:themeFill="text1"/>
            <w:noWrap/>
            <w:vAlign w:val="center"/>
            <w:hideMark/>
          </w:tcPr>
          <w:p w14:paraId="5C8BB54C" w14:textId="0C958ACC" w:rsidR="00612BC3" w:rsidRPr="00627E04" w:rsidRDefault="00612BC3" w:rsidP="0031432A">
            <w:pPr>
              <w:jc w:val="center"/>
            </w:pPr>
            <w:r w:rsidRPr="00627E04">
              <w:rPr>
                <w:b/>
                <w:bCs/>
              </w:rPr>
              <w:t>Nom code</w:t>
            </w:r>
          </w:p>
        </w:tc>
        <w:tc>
          <w:tcPr>
            <w:tcW w:w="1579" w:type="dxa"/>
            <w:shd w:val="clear" w:color="auto" w:fill="000000" w:themeFill="text1"/>
            <w:vAlign w:val="center"/>
          </w:tcPr>
          <w:p w14:paraId="7F0871A9" w14:textId="643A3FBB" w:rsidR="00612BC3" w:rsidRPr="00627E04" w:rsidRDefault="00606F48" w:rsidP="0031432A">
            <w:pPr>
              <w:jc w:val="center"/>
              <w:rPr>
                <w:b/>
                <w:bCs/>
              </w:rPr>
            </w:pPr>
            <w:r w:rsidRPr="00985CC7">
              <w:rPr>
                <w:b/>
                <w:bCs/>
              </w:rPr>
              <w:t>Compensé (C) / Non compensé (NC)*</w:t>
            </w:r>
          </w:p>
        </w:tc>
      </w:tr>
      <w:tr w:rsidR="00612BC3" w:rsidRPr="00627E04" w14:paraId="2EA43051" w14:textId="266C4AD7" w:rsidTr="0031432A">
        <w:trPr>
          <w:trHeight w:val="290"/>
        </w:trPr>
        <w:tc>
          <w:tcPr>
            <w:tcW w:w="3604" w:type="dxa"/>
            <w:noWrap/>
            <w:vAlign w:val="center"/>
            <w:hideMark/>
          </w:tcPr>
          <w:p w14:paraId="686B6F7F" w14:textId="5F4C4A10" w:rsidR="00612BC3" w:rsidRPr="00627E04" w:rsidRDefault="00612BC3" w:rsidP="0031432A">
            <w:pPr>
              <w:jc w:val="center"/>
            </w:pPr>
            <w:r w:rsidRPr="00627E04">
              <w:t>Réduction générale des cotisations patronales de sécurité sociale/ AG</w:t>
            </w:r>
          </w:p>
        </w:tc>
        <w:tc>
          <w:tcPr>
            <w:tcW w:w="2061" w:type="dxa"/>
            <w:vAlign w:val="center"/>
            <w:hideMark/>
          </w:tcPr>
          <w:p w14:paraId="7CA139C5" w14:textId="10CDE9FE" w:rsidR="00612BC3" w:rsidRPr="00627E04" w:rsidRDefault="00612BC3" w:rsidP="0031432A">
            <w:pPr>
              <w:jc w:val="center"/>
            </w:pPr>
            <w:r w:rsidRPr="00627E04">
              <w:t>(1)</w:t>
            </w:r>
          </w:p>
        </w:tc>
        <w:tc>
          <w:tcPr>
            <w:tcW w:w="2384" w:type="dxa"/>
            <w:noWrap/>
            <w:vAlign w:val="center"/>
            <w:hideMark/>
          </w:tcPr>
          <w:p w14:paraId="50322437" w14:textId="23D4FDA2" w:rsidR="00612BC3" w:rsidRPr="00627E04" w:rsidRDefault="00612BC3" w:rsidP="0031432A">
            <w:pPr>
              <w:jc w:val="center"/>
            </w:pPr>
            <w:r w:rsidRPr="00627E04">
              <w:t>AG1</w:t>
            </w:r>
          </w:p>
        </w:tc>
        <w:tc>
          <w:tcPr>
            <w:tcW w:w="1579" w:type="dxa"/>
            <w:vAlign w:val="center"/>
          </w:tcPr>
          <w:p w14:paraId="237FED81" w14:textId="0FE3EBCC" w:rsidR="00612BC3" w:rsidRPr="00627E04" w:rsidRDefault="00336216" w:rsidP="0031432A">
            <w:pPr>
              <w:jc w:val="center"/>
            </w:pPr>
            <w:r>
              <w:t>C</w:t>
            </w:r>
          </w:p>
        </w:tc>
      </w:tr>
      <w:tr w:rsidR="00612BC3" w:rsidRPr="00627E04" w14:paraId="62F2ED27" w14:textId="4B151DF7" w:rsidTr="0031432A">
        <w:trPr>
          <w:trHeight w:val="310"/>
        </w:trPr>
        <w:tc>
          <w:tcPr>
            <w:tcW w:w="3604" w:type="dxa"/>
            <w:noWrap/>
            <w:vAlign w:val="center"/>
            <w:hideMark/>
          </w:tcPr>
          <w:p w14:paraId="6BDE6133" w14:textId="16091F39" w:rsidR="00612BC3" w:rsidRPr="00627E04" w:rsidRDefault="00612BC3" w:rsidP="0031432A">
            <w:pPr>
              <w:jc w:val="center"/>
              <w:rPr>
                <w:b/>
                <w:bCs/>
              </w:rPr>
            </w:pPr>
            <w:r w:rsidRPr="00627E04">
              <w:t>Réduction générale des cotisations patronales de sécurité sociale/ AG</w:t>
            </w:r>
          </w:p>
        </w:tc>
        <w:tc>
          <w:tcPr>
            <w:tcW w:w="2061" w:type="dxa"/>
            <w:noWrap/>
            <w:vAlign w:val="center"/>
            <w:hideMark/>
          </w:tcPr>
          <w:p w14:paraId="4D43D032" w14:textId="446D49D7" w:rsidR="00612BC3" w:rsidRPr="00627E04" w:rsidRDefault="00612BC3" w:rsidP="0031432A">
            <w:pPr>
              <w:jc w:val="center"/>
              <w:rPr>
                <w:b/>
                <w:bCs/>
              </w:rPr>
            </w:pPr>
            <w:r w:rsidRPr="00627E04">
              <w:t>(3AG)</w:t>
            </w:r>
          </w:p>
        </w:tc>
        <w:tc>
          <w:tcPr>
            <w:tcW w:w="2384" w:type="dxa"/>
            <w:noWrap/>
            <w:vAlign w:val="center"/>
            <w:hideMark/>
          </w:tcPr>
          <w:p w14:paraId="3D96F2F1" w14:textId="1AB8C765" w:rsidR="00612BC3" w:rsidRPr="00627E04" w:rsidRDefault="00612BC3" w:rsidP="0031432A">
            <w:pPr>
              <w:jc w:val="center"/>
              <w:rPr>
                <w:b/>
                <w:bCs/>
              </w:rPr>
            </w:pPr>
            <w:r w:rsidRPr="00627E04">
              <w:t>AG3</w:t>
            </w:r>
          </w:p>
        </w:tc>
        <w:tc>
          <w:tcPr>
            <w:tcW w:w="1579" w:type="dxa"/>
            <w:vAlign w:val="center"/>
          </w:tcPr>
          <w:p w14:paraId="042B5B69" w14:textId="7A4C777F" w:rsidR="00612BC3" w:rsidRPr="00627E04" w:rsidRDefault="00336216" w:rsidP="0031432A">
            <w:pPr>
              <w:jc w:val="center"/>
            </w:pPr>
            <w:r>
              <w:t>NC</w:t>
            </w:r>
          </w:p>
        </w:tc>
      </w:tr>
      <w:tr w:rsidR="00612BC3" w:rsidRPr="00627E04" w14:paraId="7071A245" w14:textId="4A139E3D" w:rsidTr="0031432A">
        <w:trPr>
          <w:trHeight w:val="523"/>
        </w:trPr>
        <w:tc>
          <w:tcPr>
            <w:tcW w:w="3604" w:type="dxa"/>
            <w:noWrap/>
            <w:vAlign w:val="center"/>
            <w:hideMark/>
          </w:tcPr>
          <w:p w14:paraId="1C80D6B3" w14:textId="0981E255" w:rsidR="00612BC3" w:rsidRPr="00627E04" w:rsidRDefault="00612BC3" w:rsidP="0031432A">
            <w:pPr>
              <w:jc w:val="center"/>
            </w:pPr>
            <w:r w:rsidRPr="00627E04">
              <w:t>Baisse du taux de cotisations d'allocations familiales</w:t>
            </w:r>
          </w:p>
        </w:tc>
        <w:tc>
          <w:tcPr>
            <w:tcW w:w="2061" w:type="dxa"/>
            <w:vAlign w:val="center"/>
            <w:hideMark/>
          </w:tcPr>
          <w:p w14:paraId="15B9493A" w14:textId="34258736" w:rsidR="00612BC3" w:rsidRPr="00627E04" w:rsidRDefault="00612BC3" w:rsidP="0031432A">
            <w:pPr>
              <w:jc w:val="center"/>
            </w:pPr>
            <w:r w:rsidRPr="00627E04">
              <w:t>(1)</w:t>
            </w:r>
          </w:p>
        </w:tc>
        <w:tc>
          <w:tcPr>
            <w:tcW w:w="2384" w:type="dxa"/>
            <w:noWrap/>
            <w:vAlign w:val="center"/>
            <w:hideMark/>
          </w:tcPr>
          <w:p w14:paraId="003AF264" w14:textId="763AF18C" w:rsidR="00612BC3" w:rsidRPr="00627E04" w:rsidRDefault="00612BC3" w:rsidP="0031432A">
            <w:pPr>
              <w:jc w:val="center"/>
            </w:pPr>
            <w:r w:rsidRPr="00627E04">
              <w:t>COTALLOC</w:t>
            </w:r>
          </w:p>
        </w:tc>
        <w:tc>
          <w:tcPr>
            <w:tcW w:w="1579" w:type="dxa"/>
            <w:vAlign w:val="center"/>
          </w:tcPr>
          <w:p w14:paraId="6DAA6FE9" w14:textId="62913B52" w:rsidR="00612BC3" w:rsidRPr="00627E04" w:rsidRDefault="00336216" w:rsidP="0031432A">
            <w:pPr>
              <w:jc w:val="center"/>
            </w:pPr>
            <w:r>
              <w:t>C</w:t>
            </w:r>
          </w:p>
        </w:tc>
      </w:tr>
      <w:tr w:rsidR="00612BC3" w:rsidRPr="00627E04" w14:paraId="22C9A7A0" w14:textId="1109DFB7" w:rsidTr="0031432A">
        <w:trPr>
          <w:trHeight w:val="440"/>
        </w:trPr>
        <w:tc>
          <w:tcPr>
            <w:tcW w:w="3604" w:type="dxa"/>
            <w:noWrap/>
            <w:vAlign w:val="center"/>
            <w:hideMark/>
          </w:tcPr>
          <w:p w14:paraId="526B16E5" w14:textId="69BC8F42" w:rsidR="00612BC3" w:rsidRPr="00627E04" w:rsidRDefault="00612BC3" w:rsidP="0031432A">
            <w:pPr>
              <w:jc w:val="center"/>
            </w:pPr>
            <w:r w:rsidRPr="00627E04">
              <w:t>Baisse du taux de cotisation maladie</w:t>
            </w:r>
          </w:p>
        </w:tc>
        <w:tc>
          <w:tcPr>
            <w:tcW w:w="2061" w:type="dxa"/>
            <w:vAlign w:val="center"/>
            <w:hideMark/>
          </w:tcPr>
          <w:p w14:paraId="715A31B8" w14:textId="6A843C19" w:rsidR="00612BC3" w:rsidRPr="00627E04" w:rsidRDefault="00612BC3" w:rsidP="0031432A">
            <w:pPr>
              <w:jc w:val="center"/>
            </w:pPr>
            <w:r w:rsidRPr="00627E04">
              <w:t>(1)</w:t>
            </w:r>
          </w:p>
        </w:tc>
        <w:tc>
          <w:tcPr>
            <w:tcW w:w="2384" w:type="dxa"/>
            <w:noWrap/>
            <w:vAlign w:val="center"/>
            <w:hideMark/>
          </w:tcPr>
          <w:p w14:paraId="2C325A94" w14:textId="276230A2" w:rsidR="00612BC3" w:rsidRPr="00627E04" w:rsidRDefault="00612BC3" w:rsidP="0031432A">
            <w:pPr>
              <w:jc w:val="center"/>
            </w:pPr>
            <w:r w:rsidRPr="00627E04">
              <w:t>COTMAL</w:t>
            </w:r>
          </w:p>
        </w:tc>
        <w:tc>
          <w:tcPr>
            <w:tcW w:w="1579" w:type="dxa"/>
            <w:vAlign w:val="center"/>
          </w:tcPr>
          <w:p w14:paraId="42D82042" w14:textId="789DA01D" w:rsidR="00612BC3" w:rsidRPr="00627E04" w:rsidRDefault="00336216" w:rsidP="0031432A">
            <w:pPr>
              <w:jc w:val="center"/>
            </w:pPr>
            <w:r>
              <w:t>C</w:t>
            </w:r>
          </w:p>
        </w:tc>
      </w:tr>
      <w:tr w:rsidR="00612BC3" w:rsidRPr="00627E04" w14:paraId="02C84AB0" w14:textId="54E90B29" w:rsidTr="0031432A">
        <w:trPr>
          <w:trHeight w:val="440"/>
        </w:trPr>
        <w:tc>
          <w:tcPr>
            <w:tcW w:w="3604" w:type="dxa"/>
            <w:noWrap/>
            <w:vAlign w:val="center"/>
            <w:hideMark/>
          </w:tcPr>
          <w:p w14:paraId="2D306005" w14:textId="5D971C2D" w:rsidR="00612BC3" w:rsidRPr="00627E04" w:rsidRDefault="00612BC3" w:rsidP="0031432A">
            <w:pPr>
              <w:jc w:val="center"/>
            </w:pPr>
            <w:r w:rsidRPr="00627E04">
              <w:t xml:space="preserve">Exonération de cotisations employeurs et aides - </w:t>
            </w:r>
            <w:r w:rsidR="00DC15B9">
              <w:t>COVID</w:t>
            </w:r>
          </w:p>
        </w:tc>
        <w:tc>
          <w:tcPr>
            <w:tcW w:w="2061" w:type="dxa"/>
            <w:vAlign w:val="center"/>
            <w:hideMark/>
          </w:tcPr>
          <w:p w14:paraId="33E070D1" w14:textId="14E07B7A" w:rsidR="00612BC3" w:rsidRPr="00627E04" w:rsidRDefault="00612BC3" w:rsidP="0031432A">
            <w:pPr>
              <w:jc w:val="center"/>
            </w:pPr>
            <w:r w:rsidRPr="00627E04">
              <w:t>(4)</w:t>
            </w:r>
          </w:p>
        </w:tc>
        <w:tc>
          <w:tcPr>
            <w:tcW w:w="2384" w:type="dxa"/>
            <w:noWrap/>
            <w:vAlign w:val="center"/>
            <w:hideMark/>
          </w:tcPr>
          <w:p w14:paraId="4454C2F7" w14:textId="4A6F0776" w:rsidR="00612BC3" w:rsidRPr="00627E04" w:rsidRDefault="00DC15B9" w:rsidP="0031432A">
            <w:pPr>
              <w:jc w:val="center"/>
            </w:pPr>
            <w:r>
              <w:t>COVID</w:t>
            </w:r>
            <w:r w:rsidR="00612BC3" w:rsidRPr="00627E04">
              <w:t>AIDE</w:t>
            </w:r>
          </w:p>
        </w:tc>
        <w:tc>
          <w:tcPr>
            <w:tcW w:w="1579" w:type="dxa"/>
            <w:vAlign w:val="center"/>
          </w:tcPr>
          <w:p w14:paraId="0B5E024F" w14:textId="521464E1" w:rsidR="00612BC3" w:rsidRPr="00627E04" w:rsidRDefault="00336216" w:rsidP="0031432A">
            <w:pPr>
              <w:jc w:val="center"/>
            </w:pPr>
            <w:r>
              <w:t>C</w:t>
            </w:r>
          </w:p>
        </w:tc>
      </w:tr>
      <w:tr w:rsidR="00612BC3" w:rsidRPr="00627E04" w14:paraId="7BC14FB8" w14:textId="38612CA4" w:rsidTr="0031432A">
        <w:trPr>
          <w:trHeight w:val="440"/>
        </w:trPr>
        <w:tc>
          <w:tcPr>
            <w:tcW w:w="3604" w:type="dxa"/>
            <w:noWrap/>
            <w:vAlign w:val="center"/>
            <w:hideMark/>
          </w:tcPr>
          <w:p w14:paraId="58E5E3F4" w14:textId="1FB87913" w:rsidR="00612BC3" w:rsidRPr="00627E04" w:rsidRDefault="00612BC3" w:rsidP="0031432A">
            <w:pPr>
              <w:jc w:val="center"/>
            </w:pPr>
            <w:r w:rsidRPr="00627E04">
              <w:t xml:space="preserve">Plan de relance - </w:t>
            </w:r>
            <w:r w:rsidR="00DC15B9">
              <w:t>COVID</w:t>
            </w:r>
          </w:p>
        </w:tc>
        <w:tc>
          <w:tcPr>
            <w:tcW w:w="2061" w:type="dxa"/>
            <w:vAlign w:val="center"/>
            <w:hideMark/>
          </w:tcPr>
          <w:p w14:paraId="0666F352" w14:textId="69A57867" w:rsidR="00612BC3" w:rsidRPr="00627E04" w:rsidRDefault="00612BC3" w:rsidP="0031432A">
            <w:pPr>
              <w:jc w:val="center"/>
            </w:pPr>
            <w:r w:rsidRPr="00627E04">
              <w:t>(4)</w:t>
            </w:r>
          </w:p>
        </w:tc>
        <w:tc>
          <w:tcPr>
            <w:tcW w:w="2384" w:type="dxa"/>
            <w:noWrap/>
            <w:vAlign w:val="center"/>
            <w:hideMark/>
          </w:tcPr>
          <w:p w14:paraId="36913594" w14:textId="21BA7520" w:rsidR="00612BC3" w:rsidRPr="00627E04" w:rsidRDefault="00DC15B9" w:rsidP="0031432A">
            <w:pPr>
              <w:jc w:val="center"/>
            </w:pPr>
            <w:r>
              <w:t>COVID</w:t>
            </w:r>
            <w:r w:rsidR="00612BC3" w:rsidRPr="00627E04">
              <w:t>RELANCE</w:t>
            </w:r>
          </w:p>
        </w:tc>
        <w:tc>
          <w:tcPr>
            <w:tcW w:w="1579" w:type="dxa"/>
            <w:vAlign w:val="center"/>
          </w:tcPr>
          <w:p w14:paraId="02FA6AB2" w14:textId="3FC8326B" w:rsidR="00612BC3" w:rsidRPr="00627E04" w:rsidRDefault="00624DCF" w:rsidP="0031432A">
            <w:pPr>
              <w:jc w:val="center"/>
            </w:pPr>
            <w:r>
              <w:t>C</w:t>
            </w:r>
          </w:p>
        </w:tc>
      </w:tr>
      <w:tr w:rsidR="00D50E06" w:rsidRPr="00627E04" w14:paraId="0E2608E7" w14:textId="77777777" w:rsidTr="0031432A">
        <w:trPr>
          <w:trHeight w:val="440"/>
        </w:trPr>
        <w:tc>
          <w:tcPr>
            <w:tcW w:w="3604" w:type="dxa"/>
            <w:noWrap/>
            <w:vAlign w:val="center"/>
          </w:tcPr>
          <w:p w14:paraId="07409809" w14:textId="665728BA" w:rsidR="00D50E06" w:rsidRPr="00627E04" w:rsidRDefault="00167B66" w:rsidP="0031432A">
            <w:pPr>
              <w:jc w:val="center"/>
            </w:pPr>
            <w:r w:rsidRPr="00167B66">
              <w:t>Déductions sur les heures supplémentaires (entreprises de moins 27 salariés)</w:t>
            </w:r>
          </w:p>
        </w:tc>
        <w:tc>
          <w:tcPr>
            <w:tcW w:w="2061" w:type="dxa"/>
            <w:vAlign w:val="center"/>
          </w:tcPr>
          <w:p w14:paraId="541543D8" w14:textId="2A5FDBC8" w:rsidR="00D50E06" w:rsidRPr="00627E04" w:rsidRDefault="00167B66" w:rsidP="0031432A">
            <w:pPr>
              <w:jc w:val="center"/>
            </w:pPr>
            <w:r>
              <w:t>(1)</w:t>
            </w:r>
          </w:p>
        </w:tc>
        <w:tc>
          <w:tcPr>
            <w:tcW w:w="2384" w:type="dxa"/>
            <w:noWrap/>
            <w:vAlign w:val="center"/>
          </w:tcPr>
          <w:p w14:paraId="4ED8A69C" w14:textId="196C8FCF" w:rsidR="00D50E06" w:rsidRPr="00627E04" w:rsidRDefault="00167B66" w:rsidP="0031432A">
            <w:pPr>
              <w:jc w:val="center"/>
            </w:pPr>
            <w:r w:rsidRPr="00167B66">
              <w:t>DEDUHSUP</w:t>
            </w:r>
          </w:p>
        </w:tc>
        <w:tc>
          <w:tcPr>
            <w:tcW w:w="1579" w:type="dxa"/>
            <w:vAlign w:val="center"/>
          </w:tcPr>
          <w:p w14:paraId="687C9326" w14:textId="236A6CC1" w:rsidR="00D50E06" w:rsidRDefault="00A20937" w:rsidP="0031432A">
            <w:pPr>
              <w:jc w:val="center"/>
            </w:pPr>
            <w:r>
              <w:t>C</w:t>
            </w:r>
          </w:p>
        </w:tc>
      </w:tr>
    </w:tbl>
    <w:p w14:paraId="17CA3438" w14:textId="519B6DEC" w:rsidR="00B8225F" w:rsidRDefault="00B8225F" w:rsidP="00152D82"/>
    <w:p w14:paraId="20624731" w14:textId="4F1548AE" w:rsidR="003F4252" w:rsidRDefault="003F4252" w:rsidP="00152D82">
      <w:r w:rsidRPr="003F4252">
        <w:t>Certaines exonérations sont subdivisées en deux catégories. C’est le cas de :</w:t>
      </w:r>
    </w:p>
    <w:p w14:paraId="3D809D73" w14:textId="2EA98265" w:rsidR="003F4252" w:rsidRDefault="00594C1B">
      <w:pPr>
        <w:pStyle w:val="Paragraphedeliste"/>
        <w:numPr>
          <w:ilvl w:val="0"/>
          <w:numId w:val="27"/>
        </w:numPr>
      </w:pPr>
      <w:r w:rsidRPr="00594C1B">
        <w:t>Réduction générale des cotisations patronales de sécurité sociale/ AG</w:t>
      </w:r>
      <w:r>
        <w:t> : (1) et (3AG)</w:t>
      </w:r>
    </w:p>
    <w:p w14:paraId="1352A5D6" w14:textId="5D02BCD1" w:rsidR="00594C1B" w:rsidRPr="003F4252" w:rsidRDefault="00BA2CA1">
      <w:pPr>
        <w:pStyle w:val="Paragraphedeliste"/>
        <w:numPr>
          <w:ilvl w:val="0"/>
          <w:numId w:val="27"/>
        </w:numPr>
      </w:pPr>
      <w:r w:rsidRPr="00BA2CA1">
        <w:t>Exonération travailleurs occasionnels demandeurs d'emploi</w:t>
      </w:r>
      <w:r>
        <w:t xml:space="preserve"> : (1) et (3EC)</w:t>
      </w:r>
    </w:p>
    <w:p w14:paraId="69C29E0C" w14:textId="448F2082" w:rsidR="004D16D0" w:rsidRDefault="00F53261" w:rsidP="00152D82">
      <w:r w:rsidRPr="00ED0415">
        <w:rPr>
          <w:b/>
          <w:bCs/>
        </w:rPr>
        <w:lastRenderedPageBreak/>
        <w:t>NB</w:t>
      </w:r>
      <w:r>
        <w:t xml:space="preserve"> : </w:t>
      </w:r>
      <w:r w:rsidR="00906412">
        <w:t>ces dépenses ne sont pas exhaustives. Nous avons fait le choix de négliger une partie des exonérations, allègements et exemptions d’assiette généraux</w:t>
      </w:r>
      <w:r w:rsidR="005924E4">
        <w:t xml:space="preserve"> (non spécifiques à un secteur)</w:t>
      </w:r>
      <w:r w:rsidR="00906412">
        <w:t xml:space="preserve"> lorsque les montants sont faibles.</w:t>
      </w:r>
    </w:p>
    <w:p w14:paraId="22B1A3BD" w14:textId="277734E1" w:rsidR="006911E9" w:rsidRDefault="006911E9" w:rsidP="001B6CA9">
      <w:pPr>
        <w:pStyle w:val="Titre2"/>
      </w:pPr>
      <w:bookmarkStart w:id="79" w:name="_Toc177052077"/>
      <w:r>
        <w:t>Bénéficiaires</w:t>
      </w:r>
      <w:bookmarkEnd w:id="79"/>
    </w:p>
    <w:p w14:paraId="4A2E7D9E" w14:textId="22A8838F" w:rsidR="00857D3D" w:rsidRDefault="00F50B11" w:rsidP="00D93DB7">
      <w:r>
        <w:t>Certaines mesures</w:t>
      </w:r>
      <w:r w:rsidR="00A24FCC">
        <w:t xml:space="preserve"> bénéficient à 100% à un seul maillon</w:t>
      </w:r>
      <w:r w:rsidR="00270703">
        <w:t>, principalement le maillon agricole</w:t>
      </w:r>
      <w:r w:rsidR="00CB765F">
        <w:t>, étant donné notre périmètre</w:t>
      </w:r>
      <w:r w:rsidR="00F4448D">
        <w:t xml:space="preserve">. </w:t>
      </w:r>
      <w:r w:rsidR="00CB765F">
        <w:t>Certaines</w:t>
      </w:r>
      <w:r w:rsidR="00857C48">
        <w:t xml:space="preserve"> mesures généralistes bénéficient en revanche à plusieurs maillons.</w:t>
      </w:r>
      <w:r w:rsidR="00532E45">
        <w:t xml:space="preserve"> On applique alors la proratisation, via des données E</w:t>
      </w:r>
      <w:r w:rsidR="00D354DA">
        <w:t>sane</w:t>
      </w:r>
      <w:r w:rsidR="00B036BA">
        <w:t xml:space="preserve"> (cf. p</w:t>
      </w:r>
      <w:r w:rsidR="00B036BA" w:rsidRPr="003E1CB0">
        <w:t xml:space="preserve">artie </w:t>
      </w:r>
      <w:r w:rsidR="003E1CB0" w:rsidRPr="003E1CB0">
        <w:fldChar w:fldCharType="begin"/>
      </w:r>
      <w:r w:rsidR="003E1CB0" w:rsidRPr="003E1CB0">
        <w:instrText xml:space="preserve"> REF _Ref164952038 \r \h </w:instrText>
      </w:r>
      <w:r w:rsidR="003E1CB0">
        <w:instrText xml:space="preserve"> \* MERGEFORMAT </w:instrText>
      </w:r>
      <w:r w:rsidR="003E1CB0" w:rsidRPr="003E1CB0">
        <w:fldChar w:fldCharType="separate"/>
      </w:r>
      <w:r w:rsidR="003E1CB0" w:rsidRPr="003E1CB0">
        <w:t>3.2</w:t>
      </w:r>
      <w:r w:rsidR="003E1CB0" w:rsidRPr="003E1CB0">
        <w:fldChar w:fldCharType="end"/>
      </w:r>
      <w:r w:rsidR="00B036BA" w:rsidRPr="003E1CB0">
        <w:t>)</w:t>
      </w:r>
      <w:r w:rsidR="009A61F2" w:rsidRPr="003E1CB0">
        <w:t>.</w:t>
      </w:r>
    </w:p>
    <w:p w14:paraId="3F636597" w14:textId="765DB10A" w:rsidR="00DD20EA" w:rsidRPr="00283042" w:rsidRDefault="7AF63040" w:rsidP="009970F5">
      <w:r>
        <w:t>Pour rappel</w:t>
      </w:r>
      <w:r w:rsidR="00897B72">
        <w:t>, les dépenses associées au</w:t>
      </w:r>
      <w:r w:rsidR="00283042" w:rsidRPr="00283042">
        <w:t xml:space="preserve"> maillon </w:t>
      </w:r>
      <w:r w:rsidR="00DD20EA" w:rsidRPr="00283042">
        <w:t>PRODINTR </w:t>
      </w:r>
      <w:r w:rsidR="00897B72">
        <w:t xml:space="preserve">ne sont pas </w:t>
      </w:r>
      <w:r w:rsidR="00283042" w:rsidRPr="00283042">
        <w:t>exhausti</w:t>
      </w:r>
      <w:r w:rsidR="00897B72">
        <w:t>ves</w:t>
      </w:r>
      <w:r w:rsidR="004F2E4A">
        <w:t>, puisque nous ne captons pas l’intégralité du maillon</w:t>
      </w:r>
      <w:r w:rsidR="00897B72">
        <w:t>. En effet</w:t>
      </w:r>
      <w:r w:rsidR="004F2E4A">
        <w:t>, pour la proratisation nous comptons le code</w:t>
      </w:r>
      <w:r w:rsidR="00897B72">
        <w:t xml:space="preserve"> </w:t>
      </w:r>
      <w:r w:rsidR="004F2E4A" w:rsidRPr="00283042">
        <w:t>NAF 202</w:t>
      </w:r>
      <w:r w:rsidR="004F2E4A">
        <w:t>0 qui correspond à la p</w:t>
      </w:r>
      <w:r w:rsidR="00897B72" w:rsidRPr="00283042">
        <w:t>roduction de phytosanitaires</w:t>
      </w:r>
      <w:r w:rsidR="004F2E4A">
        <w:t>,</w:t>
      </w:r>
      <w:r w:rsidR="00283042">
        <w:t xml:space="preserve"> </w:t>
      </w:r>
      <w:r w:rsidR="00283042" w:rsidRPr="00283042">
        <w:t>il nous manque la fabrication d'engrais (code NAF pas assez détaillés) et la production de semences.</w:t>
      </w:r>
      <w:r w:rsidR="00283042">
        <w:t xml:space="preserve"> </w:t>
      </w:r>
    </w:p>
    <w:p w14:paraId="2EF763B3" w14:textId="2A7CF282" w:rsidR="003759EF" w:rsidRPr="00283042" w:rsidRDefault="00857D3D" w:rsidP="006558B9">
      <w:r w:rsidRPr="00283042">
        <w:t>Une partie des aides va également à la catégorie « TRANSVERSE »</w:t>
      </w:r>
      <w:r w:rsidR="009C0C4E" w:rsidRPr="00283042">
        <w:rPr>
          <w:rStyle w:val="Appelnotedebasdep"/>
        </w:rPr>
        <w:footnoteReference w:id="10"/>
      </w:r>
      <w:r w:rsidR="00C868C6" w:rsidRPr="00283042">
        <w:t xml:space="preserve">, mais nous choisissons de ne pas estimer le montant de ces aides car : </w:t>
      </w:r>
      <w:r w:rsidR="00452BD0" w:rsidRPr="00283042">
        <w:rPr>
          <w:b/>
          <w:bCs/>
        </w:rPr>
        <w:t>1/</w:t>
      </w:r>
      <w:r w:rsidR="00452BD0" w:rsidRPr="00283042">
        <w:t xml:space="preserve"> </w:t>
      </w:r>
      <w:r w:rsidR="00C868C6" w:rsidRPr="00283042">
        <w:t>cette catégorie couvre beaucoup de secteurs</w:t>
      </w:r>
      <w:r w:rsidR="00452BD0" w:rsidRPr="00283042">
        <w:t xml:space="preserve"> </w:t>
      </w:r>
      <w:r w:rsidR="00452BD0" w:rsidRPr="00283042">
        <w:rPr>
          <w:b/>
          <w:bCs/>
        </w:rPr>
        <w:t>2/</w:t>
      </w:r>
      <w:r w:rsidR="00452BD0" w:rsidRPr="00283042">
        <w:t xml:space="preserve"> une partie des aides visant les bas salaires, nous supposons que </w:t>
      </w:r>
      <w:r w:rsidR="007F2F13" w:rsidRPr="00283042">
        <w:t>les montants concernés pour cette catégorie seront bien moindre</w:t>
      </w:r>
      <w:r w:rsidR="00145D4A" w:rsidRPr="00283042">
        <w:t>s</w:t>
      </w:r>
      <w:r w:rsidR="007F2F13" w:rsidRPr="00283042">
        <w:t xml:space="preserve"> que les autres catégories sélectionnées (dû à des meilleurs salaires).</w:t>
      </w:r>
    </w:p>
    <w:p w14:paraId="3430D47F" w14:textId="77777777" w:rsidR="00D858D5" w:rsidRDefault="00D858D5" w:rsidP="001B6CA9">
      <w:pPr>
        <w:pStyle w:val="Titre2"/>
        <w:rPr>
          <w:rStyle w:val="ui-provider"/>
        </w:rPr>
      </w:pPr>
      <w:bookmarkStart w:id="80" w:name="_Toc177052078"/>
      <w:r w:rsidRPr="520A432B">
        <w:rPr>
          <w:rStyle w:val="ui-provider"/>
        </w:rPr>
        <w:t>Données manquantes et limites</w:t>
      </w:r>
      <w:bookmarkEnd w:id="80"/>
    </w:p>
    <w:p w14:paraId="6F34966B" w14:textId="165FE3B5" w:rsidR="005C6768" w:rsidRDefault="009E47FF" w:rsidP="006558B9">
      <w:pPr>
        <w:pStyle w:val="Paragraphedeliste"/>
        <w:spacing w:line="259" w:lineRule="auto"/>
        <w:ind w:left="0"/>
      </w:pPr>
      <w:r>
        <w:t xml:space="preserve">Certains éléments peuvent </w:t>
      </w:r>
      <w:r w:rsidR="001D0954">
        <w:t xml:space="preserve">limiter la qualité de </w:t>
      </w:r>
      <w:r>
        <w:t>l’</w:t>
      </w:r>
      <w:r w:rsidR="00931E4B">
        <w:t>e</w:t>
      </w:r>
      <w:r w:rsidR="00156FEF">
        <w:t>stimation de certaines aide</w:t>
      </w:r>
      <w:r w:rsidR="000149E3">
        <w:t>s</w:t>
      </w:r>
      <w:r w:rsidR="001D0954">
        <w:t>, notamment</w:t>
      </w:r>
      <w:r w:rsidR="001B5BC2">
        <w:t> :</w:t>
      </w:r>
    </w:p>
    <w:p w14:paraId="3852F234" w14:textId="364BE849" w:rsidR="001B5BC2" w:rsidRDefault="00525C6E">
      <w:pPr>
        <w:pStyle w:val="Paragraphedeliste"/>
        <w:numPr>
          <w:ilvl w:val="0"/>
          <w:numId w:val="30"/>
        </w:numPr>
        <w:spacing w:line="259" w:lineRule="auto"/>
      </w:pPr>
      <w:r>
        <w:t xml:space="preserve">Nous laissons fatalement de côté une partie du maillon </w:t>
      </w:r>
      <w:r w:rsidR="0088529D">
        <w:t>dans l’étape de proratisation</w:t>
      </w:r>
      <w:r w:rsidR="000149E3">
        <w:t xml:space="preserve"> (les codes NAF ne sont pas assez précis pour</w:t>
      </w:r>
      <w:r w:rsidR="009462EF">
        <w:t xml:space="preserve"> qu’on prenne en compte le maillon de façon exhaustive)</w:t>
      </w:r>
      <w:r w:rsidR="0088529D">
        <w:t> ;</w:t>
      </w:r>
    </w:p>
    <w:p w14:paraId="6E6F7596" w14:textId="73AC049C" w:rsidR="00630DFE" w:rsidRDefault="00D31EA5">
      <w:pPr>
        <w:pStyle w:val="Paragraphedeliste"/>
        <w:numPr>
          <w:ilvl w:val="0"/>
          <w:numId w:val="30"/>
        </w:numPr>
        <w:spacing w:line="259" w:lineRule="auto"/>
      </w:pPr>
      <w:r>
        <w:t>La proratisation est un proxy</w:t>
      </w:r>
      <w:r w:rsidR="00E2185E">
        <w:t xml:space="preserve"> en fonction des ETP</w:t>
      </w:r>
      <w:r w:rsidR="00AD7FF5">
        <w:t xml:space="preserve">. Or, certaines dépenses </w:t>
      </w:r>
      <w:r w:rsidR="0067395F">
        <w:t>concernent les bas salaires. Notre hypothèse sous-jacente est que la distribution des salaires est la même dans tous les secteurs, ce qui n’est pas le cas. Nous aurions besoin de données plus précises de niveau de salaire pour faire un travail plus fin ;</w:t>
      </w:r>
    </w:p>
    <w:p w14:paraId="7D611627" w14:textId="7893E80A" w:rsidR="00D31EA5" w:rsidRDefault="00D31EA5">
      <w:pPr>
        <w:pStyle w:val="Paragraphedeliste"/>
        <w:numPr>
          <w:ilvl w:val="0"/>
          <w:numId w:val="30"/>
        </w:numPr>
        <w:spacing w:line="259" w:lineRule="auto"/>
      </w:pPr>
      <w:r>
        <w:t xml:space="preserve">Pour certaines </w:t>
      </w:r>
      <w:r w:rsidR="009C0A95">
        <w:t>dépenses,</w:t>
      </w:r>
      <w:r>
        <w:t xml:space="preserve"> </w:t>
      </w:r>
      <w:r w:rsidR="00FF4DA2">
        <w:t xml:space="preserve">notamment celles en lien avec le </w:t>
      </w:r>
      <w:r w:rsidR="00DC15B9">
        <w:t>COVID</w:t>
      </w:r>
      <w:r w:rsidR="00FF4DA2">
        <w:t>-19</w:t>
      </w:r>
      <w:r w:rsidR="00862707">
        <w:t>, aucun chiffre sur la répartition des aides n’</w:t>
      </w:r>
      <w:r w:rsidR="00032F46">
        <w:t>étant</w:t>
      </w:r>
      <w:r w:rsidR="00862707">
        <w:t xml:space="preserve"> disponible, </w:t>
      </w:r>
      <w:r w:rsidR="00032F46">
        <w:t>nous utilisons faute de mieux</w:t>
      </w:r>
      <w:r w:rsidR="00862707">
        <w:t xml:space="preserve"> la proratisation par ETP,</w:t>
      </w:r>
      <w:r w:rsidR="00032F46">
        <w:t xml:space="preserve"> mais</w:t>
      </w:r>
      <w:r w:rsidR="00862707">
        <w:t xml:space="preserve"> les secteurs n’ayant pas été touchés de façon uniforme</w:t>
      </w:r>
      <w:r w:rsidR="00032F46">
        <w:t>, cette proratisation</w:t>
      </w:r>
      <w:r>
        <w:t xml:space="preserve"> </w:t>
      </w:r>
      <w:r w:rsidR="006C2B70">
        <w:t>n’est pas idéale.</w:t>
      </w:r>
      <w:r w:rsidR="4B1BAE08">
        <w:t xml:space="preserve"> </w:t>
      </w:r>
    </w:p>
    <w:p w14:paraId="4A14C72E" w14:textId="51CF5220" w:rsidR="00D31EA5" w:rsidRDefault="4B1BAE08">
      <w:pPr>
        <w:pStyle w:val="Paragraphedeliste"/>
        <w:numPr>
          <w:ilvl w:val="0"/>
          <w:numId w:val="30"/>
        </w:numPr>
        <w:spacing w:line="259" w:lineRule="auto"/>
      </w:pPr>
      <w:r>
        <w:t>Comme pour les exonérations fiscales, il est impossible de s’assurer de l’exhaustivité de notre couverture des exonérations en lien avec le système alimentaire, puisque nous ne disposons pas de la ventilation complète des exonérations sociales par bénéficiaires</w:t>
      </w:r>
      <w:r w:rsidR="00A65A29">
        <w:t> ;</w:t>
      </w:r>
    </w:p>
    <w:p w14:paraId="2575EC64" w14:textId="60B8F805" w:rsidR="0430BFFF" w:rsidRDefault="0430BFFF">
      <w:pPr>
        <w:pStyle w:val="Paragraphedeliste"/>
        <w:numPr>
          <w:ilvl w:val="0"/>
          <w:numId w:val="30"/>
        </w:numPr>
        <w:spacing w:line="259" w:lineRule="auto"/>
      </w:pPr>
      <w:r>
        <w:t>Certaines dépenses (</w:t>
      </w:r>
      <w:r w:rsidR="00CD117E">
        <w:t xml:space="preserve">exonérations généralistes et/ou correspondant à des </w:t>
      </w:r>
      <w:r>
        <w:t>faibles montants) n’ont pas été comptabilisées</w:t>
      </w:r>
      <w:r w:rsidR="00A65A29">
        <w:t>.</w:t>
      </w:r>
    </w:p>
    <w:p w14:paraId="09D26985" w14:textId="3CCD4656" w:rsidR="751C13AF" w:rsidRDefault="00E90116" w:rsidP="00D308BE">
      <w:pPr>
        <w:pStyle w:val="Paragraphedeliste"/>
        <w:spacing w:line="259" w:lineRule="auto"/>
        <w:ind w:left="0"/>
        <w:jc w:val="left"/>
      </w:pPr>
      <w:r>
        <w:t xml:space="preserve"> </w:t>
      </w:r>
    </w:p>
    <w:p w14:paraId="5D5DA76D" w14:textId="77777777" w:rsidR="00FB4071" w:rsidRPr="00FB4071" w:rsidRDefault="00FB4071" w:rsidP="006558B9"/>
    <w:p w14:paraId="127D4B28" w14:textId="465BE9CB" w:rsidR="005713BB" w:rsidRDefault="3B31CEA3" w:rsidP="006558B9">
      <w:pPr>
        <w:pStyle w:val="Titre1"/>
      </w:pPr>
      <w:bookmarkStart w:id="81" w:name="_Toc177052079"/>
      <w:r>
        <w:t>Dépenses européennes de la PAC</w:t>
      </w:r>
      <w:bookmarkEnd w:id="81"/>
    </w:p>
    <w:p w14:paraId="7E6A9A98" w14:textId="77777777" w:rsidR="005713BB" w:rsidRDefault="005713BB" w:rsidP="001B6CA9">
      <w:pPr>
        <w:pStyle w:val="Titre2"/>
        <w:rPr>
          <w:rStyle w:val="ui-provider"/>
        </w:rPr>
      </w:pPr>
      <w:bookmarkStart w:id="82" w:name="_Toc177052080"/>
      <w:r w:rsidRPr="520A432B">
        <w:rPr>
          <w:rStyle w:val="ui-provider"/>
        </w:rPr>
        <w:lastRenderedPageBreak/>
        <w:t>Présentation générale et sources principales des données</w:t>
      </w:r>
      <w:bookmarkEnd w:id="82"/>
    </w:p>
    <w:p w14:paraId="5C44D403" w14:textId="51EF9523" w:rsidR="001A5DED" w:rsidRPr="001A5DED" w:rsidRDefault="001A5DED" w:rsidP="009E5569">
      <w:r>
        <w:t>Les sources des d</w:t>
      </w:r>
      <w:r w:rsidR="00505D2A">
        <w:t>onnées de d</w:t>
      </w:r>
      <w:r>
        <w:t xml:space="preserve">épenses PAC varient d’une année à l’autre, </w:t>
      </w:r>
      <w:r w:rsidR="73DB2AC0">
        <w:t>au gré de</w:t>
      </w:r>
      <w:r>
        <w:t xml:space="preserve"> </w:t>
      </w:r>
      <w:r w:rsidR="73DB2AC0">
        <w:t>la</w:t>
      </w:r>
      <w:r>
        <w:t xml:space="preserve"> </w:t>
      </w:r>
      <w:r w:rsidRPr="001A5DED">
        <w:t>disponibilité des différentes sources pour les années d’intérêt</w:t>
      </w:r>
      <w:r w:rsidR="004F0A99">
        <w:t xml:space="preserve"> et la granularité souhaitée</w:t>
      </w:r>
      <w:r w:rsidRPr="001A5DED">
        <w:t>.</w:t>
      </w:r>
    </w:p>
    <w:p w14:paraId="66A8594C" w14:textId="07015C2C" w:rsidR="001A5DED" w:rsidRPr="001A5DED" w:rsidRDefault="001A5DED" w:rsidP="009E5569">
      <w:r w:rsidRPr="001A5DED">
        <w:t>Les sources principales sont les suivantes :</w:t>
      </w:r>
    </w:p>
    <w:p w14:paraId="6376B61D" w14:textId="0383D4C8" w:rsidR="001A5DED" w:rsidRPr="00B77A7A" w:rsidRDefault="001A5DED">
      <w:pPr>
        <w:pStyle w:val="Paragraphedeliste"/>
        <w:numPr>
          <w:ilvl w:val="0"/>
          <w:numId w:val="15"/>
        </w:numPr>
      </w:pPr>
      <w:r>
        <w:t xml:space="preserve">Les données 2018 et 2019 sont </w:t>
      </w:r>
      <w:r w:rsidR="000246D8" w:rsidRPr="00B77A7A">
        <w:t xml:space="preserve">majoritairement </w:t>
      </w:r>
      <w:r w:rsidRPr="00B77A7A">
        <w:t>reprises du travail d’I4CE</w:t>
      </w:r>
      <w:r w:rsidR="000246D8" w:rsidRPr="00B77A7A">
        <w:t xml:space="preserve"> en 2021 (</w:t>
      </w:r>
      <w:hyperlink r:id="rId18">
        <w:r w:rsidR="000246D8" w:rsidRPr="00B77A7A">
          <w:rPr>
            <w:rStyle w:val="Lienhypertexte"/>
          </w:rPr>
          <w:t>I4CE 2021</w:t>
        </w:r>
      </w:hyperlink>
      <w:r w:rsidR="000246D8" w:rsidRPr="00B77A7A">
        <w:t>)</w:t>
      </w:r>
      <w:r w:rsidR="00986C25" w:rsidRPr="00B77A7A">
        <w:t xml:space="preserve"> ; </w:t>
      </w:r>
    </w:p>
    <w:p w14:paraId="5C3559E4" w14:textId="5DBFE23C" w:rsidR="001A5DED" w:rsidRDefault="001A5DED">
      <w:pPr>
        <w:pStyle w:val="Paragraphedeliste"/>
        <w:numPr>
          <w:ilvl w:val="0"/>
          <w:numId w:val="15"/>
        </w:numPr>
      </w:pPr>
      <w:r w:rsidRPr="00B77A7A">
        <w:t>Pour 2021 et 2022, nous utilisons principalement Télépac et les données du Département de l’Ariège</w:t>
      </w:r>
      <w:r w:rsidR="00F5372C">
        <w:rPr>
          <w:rStyle w:val="Appelnotedebasdep"/>
        </w:rPr>
        <w:footnoteReference w:id="11"/>
      </w:r>
      <w:r>
        <w:t>, qui fournit des données au niveau départemental, pour l’ensemble des départements</w:t>
      </w:r>
      <w:r w:rsidR="004C3AFA">
        <w:t> ;</w:t>
      </w:r>
    </w:p>
    <w:p w14:paraId="5D47C183" w14:textId="7E676DC8" w:rsidR="001A5DED" w:rsidRDefault="001A5DED">
      <w:pPr>
        <w:pStyle w:val="Paragraphedeliste"/>
        <w:numPr>
          <w:ilvl w:val="0"/>
          <w:numId w:val="15"/>
        </w:numPr>
      </w:pPr>
      <w:r>
        <w:t>Pour le prévisionnel de 2023 et 2024, nous nous basons sur le Plan Stratégique National</w:t>
      </w:r>
      <w:r w:rsidR="00A103CA">
        <w:rPr>
          <w:rStyle w:val="Appelnotedebasdep"/>
        </w:rPr>
        <w:footnoteReference w:id="12"/>
      </w:r>
      <w:r>
        <w:t xml:space="preserve"> et</w:t>
      </w:r>
      <w:r w:rsidR="00F5372C">
        <w:t xml:space="preserve"> le</w:t>
      </w:r>
      <w:r>
        <w:t> </w:t>
      </w:r>
      <w:r w:rsidRPr="007E27DB">
        <w:t>ministère de l’Agriculture</w:t>
      </w:r>
      <w:r>
        <w:t xml:space="preserve">, qui reprend ce PSN et </w:t>
      </w:r>
      <w:r w:rsidRPr="007E27DB">
        <w:t>donne le montant annuel moyen des aides sur la période 2023-2027</w:t>
      </w:r>
      <w:r>
        <w:rPr>
          <w:rStyle w:val="Appelnotedebasdep"/>
        </w:rPr>
        <w:footnoteReference w:id="13"/>
      </w:r>
      <w:r w:rsidR="00701E87">
        <w:t> ;</w:t>
      </w:r>
    </w:p>
    <w:p w14:paraId="558FDBB6" w14:textId="0C2F519B" w:rsidR="00C27BF5" w:rsidRDefault="001A5DED">
      <w:pPr>
        <w:pStyle w:val="Paragraphedeliste"/>
        <w:numPr>
          <w:ilvl w:val="0"/>
          <w:numId w:val="28"/>
        </w:numPr>
      </w:pPr>
      <w:r>
        <w:t>La PAC en un coup d’œil (2015-2022)</w:t>
      </w:r>
      <w:r>
        <w:rPr>
          <w:rStyle w:val="Appelnotedebasdep"/>
        </w:rPr>
        <w:footnoteReference w:id="14"/>
      </w:r>
      <w:r w:rsidR="00B77A7A">
        <w:t xml:space="preserve"> et les c</w:t>
      </w:r>
      <w:r>
        <w:t>oncours publics à l’agriculture</w:t>
      </w:r>
      <w:r>
        <w:rPr>
          <w:rStyle w:val="Appelnotedebasdep"/>
        </w:rPr>
        <w:footnoteReference w:id="15"/>
      </w:r>
      <w:r w:rsidR="00B77A7A">
        <w:t xml:space="preserve"> permet</w:t>
      </w:r>
      <w:r w:rsidR="2B79206C">
        <w:t>tent</w:t>
      </w:r>
      <w:r w:rsidR="00B77A7A">
        <w:t xml:space="preserve"> de contrevérifier et/ou compléter certaines dépenses</w:t>
      </w:r>
      <w:r w:rsidR="00701E87">
        <w:t xml:space="preserve"> lorsque la donnée n’est pas disponible ailleurs.</w:t>
      </w:r>
    </w:p>
    <w:p w14:paraId="167F38A4" w14:textId="49DC89F3" w:rsidR="00FD0FFC" w:rsidRDefault="0011051F" w:rsidP="001B6CA9">
      <w:pPr>
        <w:pStyle w:val="Titre2"/>
      </w:pPr>
      <w:bookmarkStart w:id="83" w:name="_Toc978824829"/>
      <w:bookmarkStart w:id="84" w:name="_Toc177052081"/>
      <w:r>
        <w:t xml:space="preserve">Hypothèses </w:t>
      </w:r>
      <w:r w:rsidR="00AE3A65">
        <w:t>principales</w:t>
      </w:r>
      <w:bookmarkEnd w:id="83"/>
      <w:bookmarkEnd w:id="84"/>
    </w:p>
    <w:p w14:paraId="22C8078E" w14:textId="5C2E2E77" w:rsidR="00FF0013" w:rsidRDefault="00FD0FFC" w:rsidP="006558B9">
      <w:pPr>
        <w:pStyle w:val="Titre3"/>
      </w:pPr>
      <w:bookmarkStart w:id="85" w:name="_Toc177052082"/>
      <w:r>
        <w:t>H</w:t>
      </w:r>
      <w:r w:rsidR="00D11825">
        <w:t>orizon temporel</w:t>
      </w:r>
      <w:bookmarkEnd w:id="85"/>
      <w:r w:rsidR="00D11825">
        <w:t xml:space="preserve"> </w:t>
      </w:r>
    </w:p>
    <w:p w14:paraId="5E8E0CEB" w14:textId="686A7609" w:rsidR="00FF0013" w:rsidRPr="00EA526E" w:rsidRDefault="00FF0013" w:rsidP="00FF0013">
      <w:r>
        <w:t xml:space="preserve">Les dépenses PAC du </w:t>
      </w:r>
      <w:r w:rsidRPr="23E487CA">
        <w:rPr>
          <w:b/>
          <w:bCs/>
        </w:rPr>
        <w:t>pilier 1</w:t>
      </w:r>
      <w:r>
        <w:t xml:space="preserve"> sont toutes codées OPE</w:t>
      </w:r>
      <w:r w:rsidR="779B579F">
        <w:t xml:space="preserve">X </w:t>
      </w:r>
      <w:r w:rsidR="11AA6C29">
        <w:t>(à l’exception notamment de la Dotation jeune agriculteur)</w:t>
      </w:r>
      <w:r>
        <w:t xml:space="preserve">, et celles du </w:t>
      </w:r>
      <w:r w:rsidRPr="23E487CA">
        <w:rPr>
          <w:b/>
          <w:bCs/>
        </w:rPr>
        <w:t>pilier 2</w:t>
      </w:r>
      <w:r>
        <w:t xml:space="preserve"> sont majoritairement codées CAPEX</w:t>
      </w:r>
      <w:r w:rsidR="54B5748D">
        <w:t xml:space="preserve"> (</w:t>
      </w:r>
      <w:r w:rsidR="44D44D01">
        <w:t>à l’exception notamment de l’indemnité compensatoire de handicap naturel</w:t>
      </w:r>
      <w:r w:rsidR="4E5D6CBB">
        <w:t>)</w:t>
      </w:r>
      <w:r>
        <w:t>.</w:t>
      </w:r>
    </w:p>
    <w:p w14:paraId="362E1800" w14:textId="1FCD6BC2" w:rsidR="003F1E8E" w:rsidRPr="00D11825" w:rsidRDefault="00167A8B" w:rsidP="006558B9">
      <w:pPr>
        <w:pStyle w:val="Titre3"/>
      </w:pPr>
      <w:bookmarkStart w:id="86" w:name="_Toc177052083"/>
      <w:r>
        <w:t>Bénéficiaires</w:t>
      </w:r>
      <w:bookmarkEnd w:id="86"/>
    </w:p>
    <w:p w14:paraId="1D4CF512" w14:textId="43B0F44D" w:rsidR="006B3054" w:rsidRDefault="1EE13FB3" w:rsidP="003F1E8E">
      <w:r>
        <w:t>L</w:t>
      </w:r>
      <w:r w:rsidR="33C16EB4" w:rsidRPr="006558B9">
        <w:t>e</w:t>
      </w:r>
      <w:r w:rsidR="68A62C81">
        <w:t xml:space="preserve"> bénéfice </w:t>
      </w:r>
      <w:r w:rsidR="33C16EB4">
        <w:t>de l</w:t>
      </w:r>
      <w:r>
        <w:t xml:space="preserve">’immense majorité des aides du </w:t>
      </w:r>
      <w:r w:rsidR="003F1E8E" w:rsidRPr="402EC34E">
        <w:rPr>
          <w:b/>
          <w:bCs/>
        </w:rPr>
        <w:t>pilier 1</w:t>
      </w:r>
      <w:r w:rsidR="003F1E8E">
        <w:t xml:space="preserve"> </w:t>
      </w:r>
      <w:r w:rsidR="4786A829">
        <w:t xml:space="preserve">est </w:t>
      </w:r>
      <w:r w:rsidR="6A1971D2">
        <w:t>affect</w:t>
      </w:r>
      <w:r w:rsidR="0C65177B">
        <w:t>é au secteur agricole (PRODAGRI)</w:t>
      </w:r>
      <w:r w:rsidR="3ED15E17">
        <w:t>, sauf rares exceptions</w:t>
      </w:r>
      <w:r w:rsidR="006B3054">
        <w:rPr>
          <w:rStyle w:val="Appelnotedebasdep"/>
        </w:rPr>
        <w:footnoteReference w:id="16"/>
      </w:r>
      <w:r w:rsidR="3ED15E17">
        <w:t>.</w:t>
      </w:r>
      <w:r w:rsidR="006B3054">
        <w:t xml:space="preserve"> </w:t>
      </w:r>
    </w:p>
    <w:p w14:paraId="4AB44C07" w14:textId="7699197E" w:rsidR="004A71BA" w:rsidRDefault="003F1E8E" w:rsidP="003F1E8E">
      <w:r>
        <w:t xml:space="preserve">Certaines des mesures du </w:t>
      </w:r>
      <w:r w:rsidRPr="23E487CA">
        <w:rPr>
          <w:b/>
          <w:bCs/>
        </w:rPr>
        <w:t>pilier 2</w:t>
      </w:r>
      <w:r>
        <w:t xml:space="preserve"> ont pour seul bénéficiaire la production agricole mais </w:t>
      </w:r>
      <w:r w:rsidR="006B3054">
        <w:t xml:space="preserve">d’autres </w:t>
      </w:r>
      <w:r>
        <w:t>ont plusieurs bénéficiaires.</w:t>
      </w:r>
      <w:r w:rsidR="00A4771F">
        <w:t xml:space="preserve"> </w:t>
      </w:r>
      <w:r>
        <w:t>O</w:t>
      </w:r>
      <w:r w:rsidR="00167A8B">
        <w:t>n reprend, pour chaque aide, les bénéficiaires identifiés par I4CE (2021)</w:t>
      </w:r>
      <w:r w:rsidR="00E03482">
        <w:t xml:space="preserve"> ainsi que l</w:t>
      </w:r>
      <w:r w:rsidR="00882276">
        <w:t>eur</w:t>
      </w:r>
      <w:r w:rsidR="00E03482">
        <w:t xml:space="preserve"> clé de répartition. Pour les aides nouvellement identifiées, on</w:t>
      </w:r>
      <w:r w:rsidR="001B23A5">
        <w:t xml:space="preserve"> propose des bénéficiaires et une clé de répartition spécifique</w:t>
      </w:r>
      <w:r w:rsidR="0066226E">
        <w:t>s</w:t>
      </w:r>
      <w:r w:rsidR="001B23A5">
        <w:t>, en fonction des caractéristique</w:t>
      </w:r>
      <w:r w:rsidR="00165DAC">
        <w:t>s</w:t>
      </w:r>
      <w:r w:rsidR="001B23A5">
        <w:t xml:space="preserve"> de l’aide en question (à défaut, une répartition équitable entre les différents maillons identifiés</w:t>
      </w:r>
      <w:r w:rsidR="0066226E">
        <w:t xml:space="preserve"> est proposée</w:t>
      </w:r>
      <w:r w:rsidR="001B23A5">
        <w:t>).</w:t>
      </w:r>
    </w:p>
    <w:p w14:paraId="609E78FB" w14:textId="21DC7364" w:rsidR="004A71BA" w:rsidRDefault="000D5FE6" w:rsidP="001B6CA9">
      <w:pPr>
        <w:pStyle w:val="Titre2"/>
      </w:pPr>
      <w:bookmarkStart w:id="87" w:name="_Toc177052084"/>
      <w:r>
        <w:t>Cofinancement </w:t>
      </w:r>
      <w:r w:rsidR="004A71BA">
        <w:t>national et européen</w:t>
      </w:r>
      <w:bookmarkEnd w:id="87"/>
    </w:p>
    <w:p w14:paraId="433BECD7" w14:textId="6C23AD57" w:rsidR="0084443E" w:rsidRPr="00001AC5" w:rsidRDefault="00DA061A" w:rsidP="00FD0FFC">
      <w:r>
        <w:lastRenderedPageBreak/>
        <w:t>L</w:t>
      </w:r>
      <w:r w:rsidR="00BE56ED">
        <w:t>a plupart de</w:t>
      </w:r>
      <w:r>
        <w:t xml:space="preserve">s aides PAC </w:t>
      </w:r>
      <w:r w:rsidR="00BE56ED">
        <w:t>résultent d’un cofinancement national et européen</w:t>
      </w:r>
      <w:r w:rsidR="00894606">
        <w:t>. Il est important de ne compte</w:t>
      </w:r>
      <w:r w:rsidR="00483E76">
        <w:t>r</w:t>
      </w:r>
      <w:r w:rsidR="00894606">
        <w:t xml:space="preserve"> que la partie </w:t>
      </w:r>
      <w:r w:rsidR="005C22F2">
        <w:t>européenne dans cette enveloppe, pour ne pas compter deux fois la partie cofinancée par l’</w:t>
      </w:r>
      <w:r w:rsidR="00594801">
        <w:t>État</w:t>
      </w:r>
      <w:r w:rsidR="005C22F2">
        <w:t xml:space="preserve"> (BUDGNAT)</w:t>
      </w:r>
      <w:r w:rsidR="00131F59">
        <w:t>. C’est notamment le cas des aides ICHN et MAEC</w:t>
      </w:r>
      <w:r w:rsidR="00892AE8">
        <w:t>.</w:t>
      </w:r>
    </w:p>
    <w:p w14:paraId="071D71E3" w14:textId="526C2B6C" w:rsidR="004C1611" w:rsidRDefault="004C1611" w:rsidP="001B6CA9">
      <w:pPr>
        <w:pStyle w:val="Titre2"/>
      </w:pPr>
      <w:bookmarkStart w:id="88" w:name="_Toc177052085"/>
      <w:r>
        <w:t>Données manquantes et limites</w:t>
      </w:r>
      <w:bookmarkEnd w:id="88"/>
    </w:p>
    <w:p w14:paraId="1428CEF2" w14:textId="4A18E87C" w:rsidR="00B73A2B" w:rsidRDefault="0066226E" w:rsidP="00B73A2B">
      <w:r>
        <w:t>S</w:t>
      </w:r>
      <w:r w:rsidR="00B73A2B">
        <w:t>i un chiffre manque</w:t>
      </w:r>
      <w:r>
        <w:t>, plusieurs options sont possibles</w:t>
      </w:r>
      <w:r w:rsidR="00B73A2B">
        <w:t>. Par exemple :</w:t>
      </w:r>
    </w:p>
    <w:p w14:paraId="7C97D986" w14:textId="389BC62C" w:rsidR="00B73A2B" w:rsidRDefault="00B73A2B">
      <w:pPr>
        <w:pStyle w:val="Paragraphedeliste"/>
        <w:numPr>
          <w:ilvl w:val="0"/>
          <w:numId w:val="16"/>
        </w:numPr>
      </w:pPr>
      <w:r>
        <w:t xml:space="preserve">Si une année </w:t>
      </w:r>
      <w:r w:rsidR="007C12E8">
        <w:t xml:space="preserve">est manquante </w:t>
      </w:r>
      <w:r>
        <w:t>et que la donnée est disponible l’année d’avant et l’année d’après, on fait une moyenne ;</w:t>
      </w:r>
    </w:p>
    <w:p w14:paraId="6880F20C" w14:textId="4B0E59C1" w:rsidR="00B73A2B" w:rsidRDefault="00B73A2B">
      <w:pPr>
        <w:pStyle w:val="Paragraphedeliste"/>
        <w:numPr>
          <w:ilvl w:val="0"/>
          <w:numId w:val="16"/>
        </w:numPr>
      </w:pPr>
      <w:r>
        <w:t xml:space="preserve">Si une année </w:t>
      </w:r>
      <w:r w:rsidR="007C12E8">
        <w:t>est manquante</w:t>
      </w:r>
      <w:r w:rsidR="007C12E8" w:rsidDel="007C12E8">
        <w:t xml:space="preserve"> </w:t>
      </w:r>
      <w:r>
        <w:t>et que la donnée est disponible pour d’autres années mais pas nécessairement l’année d’avant et l’année d’après, on fait une moyenne des années disponibles ;</w:t>
      </w:r>
    </w:p>
    <w:p w14:paraId="35D2A6AE" w14:textId="14DAA6AD" w:rsidR="00B73A2B" w:rsidRDefault="00B73A2B">
      <w:pPr>
        <w:pStyle w:val="Paragraphedeliste"/>
        <w:numPr>
          <w:ilvl w:val="0"/>
          <w:numId w:val="16"/>
        </w:numPr>
      </w:pPr>
      <w:r>
        <w:t>Quand des montants 2024 manquent, on fait l’hypothèse que le montant est le même que 2023.</w:t>
      </w:r>
    </w:p>
    <w:p w14:paraId="006EB9AD" w14:textId="5FC73CBE" w:rsidR="00A94E8B" w:rsidRDefault="00A94E8B" w:rsidP="00A94E8B">
      <w:pPr>
        <w:pStyle w:val="Titre2"/>
      </w:pPr>
      <w:bookmarkStart w:id="89" w:name="_Toc177052086"/>
      <w:r>
        <w:t xml:space="preserve">Le cas des aides </w:t>
      </w:r>
      <w:r w:rsidR="009C5B06">
        <w:t>à l’Agriculture Biologique</w:t>
      </w:r>
      <w:r w:rsidR="00EF78D1">
        <w:t xml:space="preserve"> du 2</w:t>
      </w:r>
      <w:r w:rsidR="00EF78D1" w:rsidRPr="00EF78D1">
        <w:rPr>
          <w:vertAlign w:val="superscript"/>
        </w:rPr>
        <w:t>nd</w:t>
      </w:r>
      <w:r w:rsidR="00EF78D1">
        <w:t xml:space="preserve"> pilier (ex mesure 11)</w:t>
      </w:r>
      <w:r w:rsidR="0098219E">
        <w:t xml:space="preserve"> pour 2024</w:t>
      </w:r>
      <w:bookmarkEnd w:id="89"/>
    </w:p>
    <w:p w14:paraId="24F1FC47" w14:textId="3EDF9FF8" w:rsidR="00810A91" w:rsidRPr="00DB1F44" w:rsidRDefault="00705BE8" w:rsidP="00A94E8B">
      <w:r w:rsidRPr="00DB1F44">
        <w:t>Le montant des a</w:t>
      </w:r>
      <w:r w:rsidR="009C5B06" w:rsidRPr="00DB1F44">
        <w:t>ides à l'Agriculture Biologique</w:t>
      </w:r>
      <w:r w:rsidR="003F13F9" w:rsidRPr="00DB1F44">
        <w:t xml:space="preserve"> pour 2024 </w:t>
      </w:r>
      <w:r w:rsidR="00C4091F" w:rsidRPr="00DB1F44">
        <w:t>a nécessité un choix</w:t>
      </w:r>
      <w:r w:rsidR="00173215" w:rsidRPr="00DB1F44">
        <w:t xml:space="preserve"> parmi plusieurs montants </w:t>
      </w:r>
      <w:r w:rsidR="00144630">
        <w:t xml:space="preserve">pertinents </w:t>
      </w:r>
      <w:r w:rsidR="00173215" w:rsidRPr="00DB1F44">
        <w:t>possibles</w:t>
      </w:r>
      <w:r w:rsidR="00C4091F" w:rsidRPr="00DB1F44">
        <w:t>.</w:t>
      </w:r>
    </w:p>
    <w:p w14:paraId="3E6F783C" w14:textId="4ADEC54C" w:rsidR="00546D18" w:rsidRPr="00DB1F44" w:rsidRDefault="00C4091F" w:rsidP="00A94E8B">
      <w:r w:rsidRPr="00DB1F44">
        <w:t xml:space="preserve">En effet, le montant effectif de l’année 2024 </w:t>
      </w:r>
      <w:r w:rsidR="00173215" w:rsidRPr="00DB1F44">
        <w:t>renseigné dans</w:t>
      </w:r>
      <w:r w:rsidRPr="00DB1F44">
        <w:t xml:space="preserve"> le PSN est bien inférieur au montant annuel moyenné de 2024-2029</w:t>
      </w:r>
      <w:r w:rsidR="008D434A" w:rsidRPr="00DB1F44">
        <w:t xml:space="preserve"> (pour la partie FEADER uniquement) : </w:t>
      </w:r>
    </w:p>
    <w:p w14:paraId="5E37B4C9" w14:textId="626DB9F8" w:rsidR="00546D18" w:rsidRPr="00DB1F44" w:rsidRDefault="00546D18" w:rsidP="00546D18">
      <w:pPr>
        <w:numPr>
          <w:ilvl w:val="0"/>
          <w:numId w:val="41"/>
        </w:numPr>
        <w:spacing w:before="100" w:beforeAutospacing="1" w:after="100" w:afterAutospacing="1"/>
        <w:jc w:val="left"/>
        <w:rPr>
          <w:rFonts w:cs="Times New Roman"/>
        </w:rPr>
      </w:pPr>
      <w:r w:rsidRPr="00DB1F44">
        <w:t xml:space="preserve">Le PSN </w:t>
      </w:r>
      <w:r w:rsidR="008F6EDE" w:rsidRPr="00DB1F44">
        <w:t>indique</w:t>
      </w:r>
      <w:r w:rsidRPr="00DB1F44">
        <w:t xml:space="preserve"> </w:t>
      </w:r>
      <w:r w:rsidRPr="00DB1F44">
        <w:rPr>
          <w:rStyle w:val="lev"/>
          <w:rFonts w:ascii="Source Sans Pro Light" w:hAnsi="Source Sans Pro Light"/>
        </w:rPr>
        <w:t>42 millions €</w:t>
      </w:r>
      <w:r w:rsidRPr="00DB1F44">
        <w:t xml:space="preserve"> pour </w:t>
      </w:r>
      <w:r w:rsidR="008F6EDE" w:rsidRPr="00DB1F44">
        <w:t>c</w:t>
      </w:r>
      <w:r w:rsidRPr="00DB1F44">
        <w:t xml:space="preserve">es aides </w:t>
      </w:r>
      <w:r w:rsidR="008F6EDE" w:rsidRPr="00DB1F44">
        <w:t xml:space="preserve">en </w:t>
      </w:r>
      <w:r w:rsidRPr="00DB1F44">
        <w:t xml:space="preserve">2024 (CAB + MAB RUP) pour l'année </w:t>
      </w:r>
      <w:r w:rsidRPr="00DB1F44">
        <w:rPr>
          <w:rStyle w:val="lev"/>
          <w:rFonts w:ascii="Source Sans Pro Light" w:hAnsi="Source Sans Pro Light"/>
        </w:rPr>
        <w:t>2024</w:t>
      </w:r>
      <w:r w:rsidRPr="00DB1F44">
        <w:t xml:space="preserve"> ;</w:t>
      </w:r>
    </w:p>
    <w:p w14:paraId="0713494C" w14:textId="79989151" w:rsidR="00546D18" w:rsidRPr="00DB1F44" w:rsidRDefault="00546D18" w:rsidP="00A94E8B">
      <w:pPr>
        <w:numPr>
          <w:ilvl w:val="0"/>
          <w:numId w:val="41"/>
        </w:numPr>
        <w:spacing w:before="100" w:beforeAutospacing="1" w:after="100" w:afterAutospacing="1"/>
        <w:jc w:val="left"/>
      </w:pPr>
      <w:r w:rsidRPr="00DB1F44">
        <w:t xml:space="preserve">En revanche, si on fait une moyenne annuelle 2024-2029 </w:t>
      </w:r>
      <w:r w:rsidR="008F6EDE" w:rsidRPr="00DB1F44">
        <w:t xml:space="preserve">du PSN, </w:t>
      </w:r>
      <w:r w:rsidRPr="00DB1F44">
        <w:t xml:space="preserve">le montant passe à </w:t>
      </w:r>
      <w:r w:rsidRPr="00DB1F44">
        <w:rPr>
          <w:rStyle w:val="lev"/>
          <w:rFonts w:ascii="Source Sans Pro Light" w:hAnsi="Source Sans Pro Light"/>
        </w:rPr>
        <w:t>197 millions €</w:t>
      </w:r>
      <w:r w:rsidR="004B2011" w:rsidRPr="00DB1F44">
        <w:rPr>
          <w:rStyle w:val="lev"/>
          <w:rFonts w:ascii="Source Sans Pro Light" w:hAnsi="Source Sans Pro Light"/>
        </w:rPr>
        <w:t xml:space="preserve"> </w:t>
      </w:r>
      <w:r w:rsidR="004B2011" w:rsidRPr="00DB1F44">
        <w:rPr>
          <w:rStyle w:val="lev"/>
          <w:rFonts w:ascii="Source Sans Pro Light" w:hAnsi="Source Sans Pro Light"/>
          <w:b w:val="0"/>
          <w:bCs w:val="0"/>
        </w:rPr>
        <w:t>(</w:t>
      </w:r>
      <w:r w:rsidR="00E678B6" w:rsidRPr="00DB1F44">
        <w:rPr>
          <w:rStyle w:val="lev"/>
          <w:rFonts w:ascii="Source Sans Pro Light" w:hAnsi="Source Sans Pro Light"/>
          <w:b w:val="0"/>
          <w:bCs w:val="0"/>
        </w:rPr>
        <w:t xml:space="preserve">le chiffre passe à 207 millions € pour les années post 2024, l’écart </w:t>
      </w:r>
      <w:r w:rsidR="00CC096F">
        <w:rPr>
          <w:rStyle w:val="lev"/>
          <w:rFonts w:ascii="Source Sans Pro Light" w:hAnsi="Source Sans Pro Light"/>
          <w:b w:val="0"/>
          <w:bCs w:val="0"/>
        </w:rPr>
        <w:t xml:space="preserve">interannuel </w:t>
      </w:r>
      <w:r w:rsidR="00E678B6" w:rsidRPr="00DB1F44">
        <w:rPr>
          <w:rStyle w:val="lev"/>
          <w:rFonts w:ascii="Source Sans Pro Light" w:hAnsi="Source Sans Pro Light"/>
          <w:b w:val="0"/>
          <w:bCs w:val="0"/>
        </w:rPr>
        <w:t>est important</w:t>
      </w:r>
      <w:r w:rsidR="004B2011" w:rsidRPr="00DB1F44">
        <w:rPr>
          <w:rStyle w:val="lev"/>
          <w:rFonts w:ascii="Source Sans Pro Light" w:hAnsi="Source Sans Pro Light"/>
          <w:b w:val="0"/>
          <w:bCs w:val="0"/>
        </w:rPr>
        <w:t>)</w:t>
      </w:r>
      <w:r w:rsidRPr="00DB1F44">
        <w:rPr>
          <w:rStyle w:val="lev"/>
          <w:rFonts w:ascii="Source Sans Pro Light" w:hAnsi="Source Sans Pro Light"/>
          <w:b w:val="0"/>
          <w:bCs w:val="0"/>
        </w:rPr>
        <w:t>.</w:t>
      </w:r>
      <w:r w:rsidRPr="00DB1F44">
        <w:rPr>
          <w:rStyle w:val="lev"/>
          <w:rFonts w:ascii="Source Sans Pro Light" w:hAnsi="Source Sans Pro Light"/>
        </w:rPr>
        <w:t xml:space="preserve"> </w:t>
      </w:r>
      <w:r w:rsidRPr="00DB1F44">
        <w:t xml:space="preserve">Ce chiffre est </w:t>
      </w:r>
      <w:r w:rsidR="008F6EDE" w:rsidRPr="00DB1F44">
        <w:t>également le chiffre</w:t>
      </w:r>
      <w:r w:rsidRPr="00DB1F44">
        <w:t xml:space="preserve"> repris par</w:t>
      </w:r>
      <w:r w:rsidR="008F6EDE" w:rsidRPr="00DB1F44">
        <w:t xml:space="preserve"> le MASA</w:t>
      </w:r>
      <w:r w:rsidR="008F6EDE" w:rsidRPr="00DB1F44">
        <w:rPr>
          <w:rStyle w:val="Appelnotedebasdep"/>
        </w:rPr>
        <w:footnoteReference w:id="17"/>
      </w:r>
      <w:r w:rsidR="008F6EDE" w:rsidRPr="00DB1F44">
        <w:t>.</w:t>
      </w:r>
      <w:r w:rsidRPr="00DB1F44">
        <w:t xml:space="preserve">  </w:t>
      </w:r>
    </w:p>
    <w:p w14:paraId="4181624A" w14:textId="3853B3FD" w:rsidR="0030110B" w:rsidRPr="00DB1F44" w:rsidRDefault="0030110B" w:rsidP="0030110B">
      <w:pPr>
        <w:rPr>
          <w:rStyle w:val="ui-provider"/>
        </w:rPr>
      </w:pPr>
      <w:r w:rsidRPr="00DB1F44">
        <w:t>Notons que, e</w:t>
      </w:r>
      <w:r w:rsidRPr="00DB1F44">
        <w:rPr>
          <w:rStyle w:val="ui-provider"/>
        </w:rPr>
        <w:t xml:space="preserve">n principe, les montants unitaires des deux aides sur la période restent stables et malgré l’objectif de développement des surfaces AB, </w:t>
      </w:r>
      <w:r w:rsidR="0080218B" w:rsidRPr="00DB1F44">
        <w:rPr>
          <w:rStyle w:val="ui-provider"/>
        </w:rPr>
        <w:t>l</w:t>
      </w:r>
      <w:r w:rsidRPr="00DB1F44">
        <w:rPr>
          <w:rStyle w:val="ui-provider"/>
        </w:rPr>
        <w:t xml:space="preserve">e passage de 40 à 207 millions par an </w:t>
      </w:r>
      <w:r w:rsidR="0080218B" w:rsidRPr="00DB1F44">
        <w:rPr>
          <w:rStyle w:val="ui-provider"/>
        </w:rPr>
        <w:t>paraît trop important.</w:t>
      </w:r>
    </w:p>
    <w:p w14:paraId="4937481A" w14:textId="5BD919F6" w:rsidR="0080218B" w:rsidRDefault="0080218B" w:rsidP="0080218B">
      <w:pPr>
        <w:rPr>
          <w:rStyle w:val="ui-provider"/>
        </w:rPr>
      </w:pPr>
      <w:r w:rsidRPr="00DB1F44">
        <w:rPr>
          <w:rStyle w:val="ui-provider"/>
        </w:rPr>
        <w:t>De plus, selon l</w:t>
      </w:r>
      <w:r w:rsidR="00DB1F44" w:rsidRPr="00DB1F44">
        <w:rPr>
          <w:rStyle w:val="ui-provider"/>
        </w:rPr>
        <w:t>a documentation du</w:t>
      </w:r>
      <w:r w:rsidRPr="00DB1F44">
        <w:rPr>
          <w:rStyle w:val="ui-provider"/>
        </w:rPr>
        <w:t xml:space="preserve"> PSN (p 560) : </w:t>
      </w:r>
      <w:r w:rsidRPr="00DB1F44">
        <w:rPr>
          <w:rStyle w:val="ui-provider"/>
          <w:i/>
          <w:iCs/>
        </w:rPr>
        <w:t>"le paiement afférent à des engagements non échus seront financés sur le budget 2023-2027".</w:t>
      </w:r>
      <w:r w:rsidRPr="00DB1F44">
        <w:rPr>
          <w:rStyle w:val="ui-provider"/>
        </w:rPr>
        <w:t xml:space="preserve"> Pour la CAB les producteurs s'engagent sur 5 ans donc il est possible que ce soit un budget de la programmation précédente qui viennent compléter le budget 2024-2029. Autrement dit les dépenses réellement engagées seront plus élevées que les 42 millions annoncés.</w:t>
      </w:r>
    </w:p>
    <w:p w14:paraId="317C29FE" w14:textId="06B7D516" w:rsidR="004C1611" w:rsidRDefault="00413EA3" w:rsidP="00F14263">
      <w:r w:rsidRPr="00413EA3">
        <w:t xml:space="preserve">On </w:t>
      </w:r>
      <w:r w:rsidR="00546D18">
        <w:t>choisit</w:t>
      </w:r>
      <w:r w:rsidR="0080218B">
        <w:t xml:space="preserve"> donc</w:t>
      </w:r>
      <w:r w:rsidR="00546D18">
        <w:t xml:space="preserve"> de </w:t>
      </w:r>
      <w:r w:rsidRPr="00413EA3">
        <w:t>prend</w:t>
      </w:r>
      <w:r w:rsidR="00546D18">
        <w:t>re</w:t>
      </w:r>
      <w:r w:rsidRPr="00413EA3">
        <w:t xml:space="preserve"> la moyenne annuelle</w:t>
      </w:r>
      <w:r w:rsidR="008F6EDE">
        <w:t xml:space="preserve"> </w:t>
      </w:r>
      <w:r w:rsidR="008F6EDE" w:rsidRPr="00413EA3">
        <w:t>FEADER des CAB (Hexagone + RUP + Corse et MAB (RUP) pour la période 2024-2029</w:t>
      </w:r>
      <w:r w:rsidR="008F6EDE">
        <w:t>, soit</w:t>
      </w:r>
      <w:r w:rsidR="00A62560">
        <w:t xml:space="preserve"> </w:t>
      </w:r>
      <w:r w:rsidR="00A62560" w:rsidRPr="0098219E">
        <w:rPr>
          <w:b/>
          <w:bCs/>
        </w:rPr>
        <w:t>197</w:t>
      </w:r>
      <w:r w:rsidR="0098219E">
        <w:rPr>
          <w:b/>
          <w:bCs/>
        </w:rPr>
        <w:t xml:space="preserve"> </w:t>
      </w:r>
      <w:r w:rsidR="00A62560" w:rsidRPr="0098219E">
        <w:rPr>
          <w:b/>
          <w:bCs/>
        </w:rPr>
        <w:t>millions €</w:t>
      </w:r>
      <w:r w:rsidR="00A62560">
        <w:t>.</w:t>
      </w:r>
    </w:p>
    <w:p w14:paraId="42D3F679" w14:textId="77777777" w:rsidR="00810A91" w:rsidRDefault="00810A91" w:rsidP="00F14263">
      <w:pPr>
        <w:rPr>
          <w:rStyle w:val="ui-provider"/>
        </w:rPr>
      </w:pPr>
    </w:p>
    <w:p w14:paraId="0D0960AC" w14:textId="77777777" w:rsidR="00810A91" w:rsidRDefault="00810A91" w:rsidP="00F14263"/>
    <w:p w14:paraId="27F316ED" w14:textId="00961DCE" w:rsidR="00702469" w:rsidRDefault="3458E626" w:rsidP="006558B9">
      <w:pPr>
        <w:pStyle w:val="Titre1"/>
      </w:pPr>
      <w:bookmarkStart w:id="90" w:name="_Toc2112949518"/>
      <w:bookmarkStart w:id="91" w:name="_Toc177052087"/>
      <w:r>
        <w:t xml:space="preserve">Dépenses européennes </w:t>
      </w:r>
      <w:bookmarkEnd w:id="90"/>
      <w:r w:rsidR="7A564869">
        <w:t>hors PAC</w:t>
      </w:r>
      <w:bookmarkEnd w:id="91"/>
    </w:p>
    <w:p w14:paraId="495E3BA0" w14:textId="77777777" w:rsidR="00251307" w:rsidRDefault="00251307" w:rsidP="001B6CA9">
      <w:pPr>
        <w:pStyle w:val="Titre2"/>
        <w:rPr>
          <w:rStyle w:val="ui-provider"/>
        </w:rPr>
      </w:pPr>
      <w:bookmarkStart w:id="92" w:name="_Ref164951424"/>
      <w:bookmarkStart w:id="93" w:name="_Toc177052088"/>
      <w:r w:rsidRPr="520A432B">
        <w:rPr>
          <w:rStyle w:val="ui-provider"/>
        </w:rPr>
        <w:t>Présentation générale et sources principales des données</w:t>
      </w:r>
      <w:bookmarkEnd w:id="92"/>
      <w:bookmarkEnd w:id="93"/>
    </w:p>
    <w:p w14:paraId="0CD4809B" w14:textId="40C906C7" w:rsidR="00E80F9E" w:rsidRDefault="00005053" w:rsidP="00E80F9E">
      <w:r>
        <w:lastRenderedPageBreak/>
        <w:t>Les fonds européens, en dehors de la PAC, sont nombreux</w:t>
      </w:r>
      <w:r w:rsidR="00124B3F">
        <w:t xml:space="preserve">, mais correspondent la plupart du temps à des sommes modestes, en comparaison des autres enveloppes. </w:t>
      </w:r>
      <w:r w:rsidR="00ED20F2">
        <w:t xml:space="preserve">Le site internet </w:t>
      </w:r>
      <w:r w:rsidR="00ED20F2" w:rsidRPr="00ED20F2">
        <w:t>touteleurope.eu</w:t>
      </w:r>
      <w:r w:rsidR="00ED20F2">
        <w:rPr>
          <w:rStyle w:val="Appelnotedebasdep"/>
        </w:rPr>
        <w:footnoteReference w:id="18"/>
      </w:r>
      <w:r w:rsidR="00ED20F2">
        <w:t xml:space="preserve"> l</w:t>
      </w:r>
      <w:r w:rsidR="00E80F9E">
        <w:t xml:space="preserve">iste et </w:t>
      </w:r>
      <w:r w:rsidR="00ED20F2">
        <w:t xml:space="preserve">donne une </w:t>
      </w:r>
      <w:r w:rsidR="00124B3F">
        <w:t>courte</w:t>
      </w:r>
      <w:r w:rsidR="00E80F9E">
        <w:t xml:space="preserve"> description de</w:t>
      </w:r>
      <w:r w:rsidR="00124B3F">
        <w:t xml:space="preserve"> ces</w:t>
      </w:r>
      <w:r w:rsidR="00E80F9E">
        <w:t xml:space="preserve"> fonds européens</w:t>
      </w:r>
      <w:r w:rsidR="00ED20F2">
        <w:t>.</w:t>
      </w:r>
    </w:p>
    <w:p w14:paraId="71D60B77" w14:textId="0AFF4226" w:rsidR="00973A40" w:rsidRDefault="00190559" w:rsidP="00371975">
      <w:r>
        <w:t>Les aides européennes, comme la PAC, fonctionnent par c</w:t>
      </w:r>
      <w:r w:rsidR="00973A40">
        <w:t>ycle</w:t>
      </w:r>
      <w:r>
        <w:t>.</w:t>
      </w:r>
      <w:r w:rsidR="001212E5">
        <w:t xml:space="preserve"> </w:t>
      </w:r>
      <w:r>
        <w:t>Le dernier cycle d’</w:t>
      </w:r>
      <w:r w:rsidR="00973A40">
        <w:t>aides</w:t>
      </w:r>
      <w:r>
        <w:t xml:space="preserve"> courait théoriquement sur la période</w:t>
      </w:r>
      <w:r w:rsidR="00973A40">
        <w:t xml:space="preserve"> : </w:t>
      </w:r>
      <w:r w:rsidR="00973A40" w:rsidRPr="006558B9">
        <w:t>2014-2020</w:t>
      </w:r>
      <w:r w:rsidR="000269A2">
        <w:t>. Le cycle suivant couvrait donc théoriquement la période</w:t>
      </w:r>
      <w:r w:rsidR="00973A40">
        <w:t xml:space="preserve"> 2020</w:t>
      </w:r>
      <w:r w:rsidR="00C03397">
        <w:t>-2026</w:t>
      </w:r>
      <w:r w:rsidR="000269A2">
        <w:t>,</w:t>
      </w:r>
      <w:r w:rsidR="00C03397">
        <w:t xml:space="preserve"> mais</w:t>
      </w:r>
      <w:r w:rsidR="000269A2">
        <w:t xml:space="preserve"> un</w:t>
      </w:r>
      <w:r w:rsidR="00C03397">
        <w:t xml:space="preserve"> décalage</w:t>
      </w:r>
      <w:r w:rsidR="000269A2">
        <w:t xml:space="preserve"> a eu lieu</w:t>
      </w:r>
      <w:r w:rsidR="00531E0D">
        <w:t>, avec prolongation en 2021 des aides du cycles précédent, et un nouveau cycle</w:t>
      </w:r>
      <w:r w:rsidR="00C03397">
        <w:t xml:space="preserve"> </w:t>
      </w:r>
      <w:r w:rsidR="00C03397" w:rsidRPr="006558B9">
        <w:t>2021-2027</w:t>
      </w:r>
      <w:r w:rsidR="00531E0D">
        <w:t>.</w:t>
      </w:r>
      <w:r w:rsidR="00C03397">
        <w:t xml:space="preserve"> </w:t>
      </w:r>
      <w:r w:rsidR="002114C2">
        <w:t>De plus</w:t>
      </w:r>
      <w:r w:rsidR="00531E0D">
        <w:t>, des aides ponctuelles REACT-EU</w:t>
      </w:r>
      <w:r w:rsidR="004A29D4">
        <w:t xml:space="preserve">, en réaction à la crise </w:t>
      </w:r>
      <w:r w:rsidR="00DC15B9">
        <w:t>COVID</w:t>
      </w:r>
      <w:r w:rsidR="004A29D4">
        <w:t xml:space="preserve">-19, </w:t>
      </w:r>
      <w:r w:rsidR="00F10490">
        <w:t>ont été octroyées entre</w:t>
      </w:r>
      <w:r w:rsidR="00531E0D">
        <w:t xml:space="preserve"> </w:t>
      </w:r>
      <w:r w:rsidR="00531E0D" w:rsidRPr="006558B9">
        <w:t xml:space="preserve">2020 </w:t>
      </w:r>
      <w:r w:rsidR="00F10490" w:rsidRPr="006558B9">
        <w:t>et</w:t>
      </w:r>
      <w:r w:rsidR="00531E0D" w:rsidRPr="006558B9">
        <w:t xml:space="preserve"> 2022</w:t>
      </w:r>
      <w:r w:rsidR="00531E0D">
        <w:t xml:space="preserve"> </w:t>
      </w:r>
    </w:p>
    <w:p w14:paraId="07463815" w14:textId="553425A3" w:rsidR="0053382B" w:rsidRDefault="005E5F46" w:rsidP="00AE0A3A">
      <w:r>
        <w:t xml:space="preserve">Entre ces deux cycles, les noms </w:t>
      </w:r>
      <w:r w:rsidR="00A21F31">
        <w:t>et le périmètre des aides peuvent varier.</w:t>
      </w:r>
      <w:r w:rsidR="004D4A4D">
        <w:t xml:space="preserve"> </w:t>
      </w:r>
      <w:r w:rsidR="00F05BD9">
        <w:t>L</w:t>
      </w:r>
      <w:r w:rsidR="004D4A4D">
        <w:t xml:space="preserve">es programmes </w:t>
      </w:r>
      <w:r w:rsidR="00F05BD9">
        <w:t xml:space="preserve">de notre périmètre </w:t>
      </w:r>
      <w:r w:rsidR="004D4A4D">
        <w:t>sont résumés dans le tableau ci-dessous.</w:t>
      </w:r>
      <w:r w:rsidR="006375D3">
        <w:t xml:space="preserve"> Les cases colorée</w:t>
      </w:r>
      <w:r w:rsidR="224DC53A">
        <w:t>s</w:t>
      </w:r>
      <w:r w:rsidR="006375D3">
        <w:t xml:space="preserve"> en rouge sont les programmes non pri</w:t>
      </w:r>
      <w:r w:rsidR="00EB364D">
        <w:t>s</w:t>
      </w:r>
      <w:r w:rsidR="006375D3">
        <w:t xml:space="preserve"> en compte</w:t>
      </w:r>
      <w:r w:rsidR="002F2AE3">
        <w:t xml:space="preserve"> par manque de données suffisamment fines</w:t>
      </w:r>
      <w:r w:rsidR="001E5832">
        <w:t xml:space="preserve"> (impossible de ventiler par bénéficiaire).</w:t>
      </w:r>
    </w:p>
    <w:tbl>
      <w:tblPr>
        <w:tblStyle w:val="Grilledutableau"/>
        <w:tblW w:w="0" w:type="auto"/>
        <w:tblLook w:val="04A0" w:firstRow="1" w:lastRow="0" w:firstColumn="1" w:lastColumn="0" w:noHBand="0" w:noVBand="1"/>
      </w:tblPr>
      <w:tblGrid>
        <w:gridCol w:w="4223"/>
        <w:gridCol w:w="5405"/>
      </w:tblGrid>
      <w:tr w:rsidR="008266DA" w:rsidRPr="008266DA" w14:paraId="60E2F3F0" w14:textId="77777777" w:rsidTr="006558B9">
        <w:trPr>
          <w:trHeight w:val="290"/>
        </w:trPr>
        <w:tc>
          <w:tcPr>
            <w:tcW w:w="4223" w:type="dxa"/>
            <w:shd w:val="clear" w:color="auto" w:fill="000000" w:themeFill="text1"/>
            <w:hideMark/>
          </w:tcPr>
          <w:p w14:paraId="0B619198" w14:textId="4C94D188" w:rsidR="008266DA" w:rsidRPr="008266DA" w:rsidRDefault="008266DA" w:rsidP="008266DA">
            <w:pPr>
              <w:jc w:val="center"/>
              <w:rPr>
                <w:b/>
                <w:bCs/>
              </w:rPr>
            </w:pPr>
            <w:r w:rsidRPr="008266DA">
              <w:rPr>
                <w:b/>
                <w:bCs/>
              </w:rPr>
              <w:t xml:space="preserve">Programmes </w:t>
            </w:r>
            <w:r w:rsidR="002912DF">
              <w:rPr>
                <w:b/>
                <w:bCs/>
              </w:rPr>
              <w:t xml:space="preserve">pré </w:t>
            </w:r>
            <w:r w:rsidRPr="008266DA">
              <w:rPr>
                <w:b/>
                <w:bCs/>
              </w:rPr>
              <w:t>2021</w:t>
            </w:r>
          </w:p>
        </w:tc>
        <w:tc>
          <w:tcPr>
            <w:tcW w:w="5405" w:type="dxa"/>
            <w:shd w:val="clear" w:color="auto" w:fill="000000" w:themeFill="text1"/>
            <w:hideMark/>
          </w:tcPr>
          <w:p w14:paraId="391B218D" w14:textId="77777777" w:rsidR="008266DA" w:rsidRPr="008266DA" w:rsidRDefault="008266DA" w:rsidP="008266DA">
            <w:pPr>
              <w:jc w:val="center"/>
              <w:rPr>
                <w:b/>
                <w:bCs/>
              </w:rPr>
            </w:pPr>
            <w:r w:rsidRPr="008266DA">
              <w:rPr>
                <w:b/>
                <w:bCs/>
              </w:rPr>
              <w:t>Programmes à partir de 2021</w:t>
            </w:r>
          </w:p>
        </w:tc>
      </w:tr>
      <w:tr w:rsidR="008266DA" w:rsidRPr="008266DA" w14:paraId="0C3358EA" w14:textId="77777777" w:rsidTr="006558B9">
        <w:trPr>
          <w:trHeight w:val="490"/>
        </w:trPr>
        <w:tc>
          <w:tcPr>
            <w:tcW w:w="4223" w:type="dxa"/>
            <w:noWrap/>
            <w:vAlign w:val="center"/>
            <w:hideMark/>
          </w:tcPr>
          <w:p w14:paraId="7DB53698" w14:textId="165B4B49" w:rsidR="008266DA" w:rsidRPr="008266DA" w:rsidRDefault="008266DA" w:rsidP="008266DA">
            <w:pPr>
              <w:jc w:val="left"/>
            </w:pPr>
            <w:r w:rsidRPr="008266DA">
              <w:t>FEDER</w:t>
            </w:r>
          </w:p>
        </w:tc>
        <w:tc>
          <w:tcPr>
            <w:tcW w:w="5405" w:type="dxa"/>
            <w:noWrap/>
            <w:vAlign w:val="center"/>
            <w:hideMark/>
          </w:tcPr>
          <w:p w14:paraId="2BFC6174" w14:textId="77777777" w:rsidR="008266DA" w:rsidRPr="008266DA" w:rsidRDefault="008266DA" w:rsidP="008266DA">
            <w:pPr>
              <w:jc w:val="left"/>
            </w:pPr>
            <w:r w:rsidRPr="008266DA">
              <w:t>FEDER</w:t>
            </w:r>
          </w:p>
        </w:tc>
      </w:tr>
      <w:tr w:rsidR="008266DA" w:rsidRPr="008266DA" w14:paraId="40FD99B8" w14:textId="77777777" w:rsidTr="006558B9">
        <w:trPr>
          <w:trHeight w:val="290"/>
        </w:trPr>
        <w:tc>
          <w:tcPr>
            <w:tcW w:w="4223" w:type="dxa"/>
            <w:noWrap/>
            <w:vAlign w:val="center"/>
            <w:hideMark/>
          </w:tcPr>
          <w:p w14:paraId="28E6BE35" w14:textId="77777777" w:rsidR="008266DA" w:rsidRPr="008266DA" w:rsidRDefault="008266DA" w:rsidP="008266DA">
            <w:pPr>
              <w:jc w:val="left"/>
            </w:pPr>
            <w:r w:rsidRPr="008266DA">
              <w:t>FSE</w:t>
            </w:r>
          </w:p>
        </w:tc>
        <w:tc>
          <w:tcPr>
            <w:tcW w:w="5405" w:type="dxa"/>
            <w:vMerge w:val="restart"/>
            <w:noWrap/>
            <w:vAlign w:val="center"/>
            <w:hideMark/>
          </w:tcPr>
          <w:p w14:paraId="371BCFBF" w14:textId="77777777" w:rsidR="008266DA" w:rsidRPr="008266DA" w:rsidRDefault="008266DA" w:rsidP="008266DA">
            <w:pPr>
              <w:jc w:val="left"/>
            </w:pPr>
            <w:r w:rsidRPr="008266DA">
              <w:t>FSE+</w:t>
            </w:r>
          </w:p>
        </w:tc>
      </w:tr>
      <w:tr w:rsidR="008266DA" w:rsidRPr="008266DA" w14:paraId="46DB86A6" w14:textId="77777777" w:rsidTr="006558B9">
        <w:trPr>
          <w:trHeight w:val="290"/>
        </w:trPr>
        <w:tc>
          <w:tcPr>
            <w:tcW w:w="4223" w:type="dxa"/>
            <w:noWrap/>
            <w:vAlign w:val="center"/>
            <w:hideMark/>
          </w:tcPr>
          <w:p w14:paraId="5BFEFEAF" w14:textId="77777777" w:rsidR="008266DA" w:rsidRPr="008266DA" w:rsidRDefault="008266DA" w:rsidP="008266DA">
            <w:pPr>
              <w:jc w:val="left"/>
            </w:pPr>
            <w:r w:rsidRPr="008266DA">
              <w:t>IEJ</w:t>
            </w:r>
          </w:p>
        </w:tc>
        <w:tc>
          <w:tcPr>
            <w:tcW w:w="5405" w:type="dxa"/>
            <w:vMerge/>
            <w:vAlign w:val="center"/>
            <w:hideMark/>
          </w:tcPr>
          <w:p w14:paraId="607D6D6B" w14:textId="77777777" w:rsidR="008266DA" w:rsidRPr="008266DA" w:rsidRDefault="008266DA" w:rsidP="008266DA">
            <w:pPr>
              <w:jc w:val="left"/>
            </w:pPr>
          </w:p>
        </w:tc>
      </w:tr>
      <w:tr w:rsidR="008266DA" w:rsidRPr="008266DA" w14:paraId="11A493D6" w14:textId="77777777" w:rsidTr="006558B9">
        <w:trPr>
          <w:trHeight w:val="290"/>
        </w:trPr>
        <w:tc>
          <w:tcPr>
            <w:tcW w:w="4223" w:type="dxa"/>
            <w:noWrap/>
            <w:vAlign w:val="center"/>
            <w:hideMark/>
          </w:tcPr>
          <w:p w14:paraId="6EC973E8" w14:textId="4763FCB2" w:rsidR="008266DA" w:rsidRPr="008266DA" w:rsidRDefault="008266DA" w:rsidP="008266DA">
            <w:pPr>
              <w:jc w:val="left"/>
            </w:pPr>
            <w:r w:rsidRPr="008266DA">
              <w:t>FEAD</w:t>
            </w:r>
          </w:p>
        </w:tc>
        <w:tc>
          <w:tcPr>
            <w:tcW w:w="5405" w:type="dxa"/>
            <w:vMerge/>
            <w:vAlign w:val="center"/>
            <w:hideMark/>
          </w:tcPr>
          <w:p w14:paraId="417070CF" w14:textId="77777777" w:rsidR="008266DA" w:rsidRPr="008266DA" w:rsidRDefault="008266DA" w:rsidP="008266DA">
            <w:pPr>
              <w:jc w:val="left"/>
            </w:pPr>
          </w:p>
        </w:tc>
      </w:tr>
      <w:tr w:rsidR="008266DA" w:rsidRPr="008266DA" w14:paraId="6E75E3D8" w14:textId="77777777" w:rsidTr="006558B9">
        <w:trPr>
          <w:trHeight w:val="290"/>
        </w:trPr>
        <w:tc>
          <w:tcPr>
            <w:tcW w:w="4223" w:type="dxa"/>
            <w:noWrap/>
            <w:vAlign w:val="center"/>
            <w:hideMark/>
          </w:tcPr>
          <w:p w14:paraId="71C83C06" w14:textId="77777777" w:rsidR="008266DA" w:rsidRPr="008266DA" w:rsidRDefault="008266DA" w:rsidP="008266DA">
            <w:pPr>
              <w:jc w:val="left"/>
            </w:pPr>
            <w:r w:rsidRPr="008266DA">
              <w:t>H2020</w:t>
            </w:r>
          </w:p>
        </w:tc>
        <w:tc>
          <w:tcPr>
            <w:tcW w:w="5405" w:type="dxa"/>
            <w:noWrap/>
            <w:vAlign w:val="center"/>
            <w:hideMark/>
          </w:tcPr>
          <w:p w14:paraId="29B3B6BB" w14:textId="77777777" w:rsidR="008266DA" w:rsidRPr="008266DA" w:rsidRDefault="008266DA" w:rsidP="008266DA">
            <w:pPr>
              <w:jc w:val="left"/>
            </w:pPr>
            <w:r w:rsidRPr="008266DA">
              <w:t>Horizon Europe</w:t>
            </w:r>
          </w:p>
        </w:tc>
      </w:tr>
      <w:tr w:rsidR="008266DA" w:rsidRPr="008266DA" w14:paraId="29CB7A50" w14:textId="77777777" w:rsidTr="006558B9">
        <w:trPr>
          <w:trHeight w:val="290"/>
        </w:trPr>
        <w:tc>
          <w:tcPr>
            <w:tcW w:w="4223" w:type="dxa"/>
            <w:shd w:val="clear" w:color="auto" w:fill="FFBBAB"/>
            <w:noWrap/>
            <w:vAlign w:val="center"/>
            <w:hideMark/>
          </w:tcPr>
          <w:p w14:paraId="3BB2D359" w14:textId="3F582873" w:rsidR="008266DA" w:rsidRPr="008266DA" w:rsidRDefault="008266DA" w:rsidP="008266DA">
            <w:pPr>
              <w:jc w:val="left"/>
            </w:pPr>
            <w:r w:rsidRPr="008266DA">
              <w:t>LIFE</w:t>
            </w:r>
          </w:p>
        </w:tc>
        <w:tc>
          <w:tcPr>
            <w:tcW w:w="5405" w:type="dxa"/>
            <w:shd w:val="clear" w:color="auto" w:fill="FFBBAB"/>
            <w:noWrap/>
            <w:vAlign w:val="center"/>
            <w:hideMark/>
          </w:tcPr>
          <w:p w14:paraId="5662DD2A" w14:textId="6EB33C8E" w:rsidR="008266DA" w:rsidRPr="008266DA" w:rsidRDefault="008266DA" w:rsidP="008266DA">
            <w:pPr>
              <w:jc w:val="left"/>
            </w:pPr>
            <w:r w:rsidRPr="008266DA">
              <w:t>LIFE</w:t>
            </w:r>
          </w:p>
        </w:tc>
      </w:tr>
      <w:tr w:rsidR="008266DA" w:rsidRPr="008266DA" w14:paraId="195BFB24" w14:textId="77777777" w:rsidTr="006558B9">
        <w:trPr>
          <w:trHeight w:val="290"/>
        </w:trPr>
        <w:tc>
          <w:tcPr>
            <w:tcW w:w="4223" w:type="dxa"/>
            <w:noWrap/>
            <w:vAlign w:val="center"/>
            <w:hideMark/>
          </w:tcPr>
          <w:p w14:paraId="7E2011AC" w14:textId="77777777" w:rsidR="008266DA" w:rsidRPr="008266DA" w:rsidRDefault="008266DA" w:rsidP="008266DA">
            <w:pPr>
              <w:jc w:val="left"/>
            </w:pPr>
            <w:r w:rsidRPr="008266DA">
              <w:t>FEAMP</w:t>
            </w:r>
          </w:p>
        </w:tc>
        <w:tc>
          <w:tcPr>
            <w:tcW w:w="5405" w:type="dxa"/>
            <w:noWrap/>
            <w:vAlign w:val="center"/>
            <w:hideMark/>
          </w:tcPr>
          <w:p w14:paraId="2F52DFAF" w14:textId="77777777" w:rsidR="008266DA" w:rsidRPr="008266DA" w:rsidRDefault="008266DA" w:rsidP="008266DA">
            <w:pPr>
              <w:jc w:val="left"/>
            </w:pPr>
            <w:r w:rsidRPr="008266DA">
              <w:t>FEAMPA</w:t>
            </w:r>
          </w:p>
        </w:tc>
      </w:tr>
      <w:tr w:rsidR="008266DA" w:rsidRPr="008266DA" w14:paraId="075871F1" w14:textId="77777777" w:rsidTr="006558B9">
        <w:trPr>
          <w:trHeight w:val="290"/>
        </w:trPr>
        <w:tc>
          <w:tcPr>
            <w:tcW w:w="4223" w:type="dxa"/>
            <w:shd w:val="clear" w:color="auto" w:fill="FFBBAB"/>
            <w:noWrap/>
            <w:vAlign w:val="center"/>
            <w:hideMark/>
          </w:tcPr>
          <w:p w14:paraId="78BE6140" w14:textId="77777777" w:rsidR="008266DA" w:rsidRPr="008266DA" w:rsidRDefault="008266DA" w:rsidP="008266DA">
            <w:pPr>
              <w:jc w:val="left"/>
            </w:pPr>
            <w:r w:rsidRPr="008266DA">
              <w:t>COSME</w:t>
            </w:r>
          </w:p>
        </w:tc>
        <w:tc>
          <w:tcPr>
            <w:tcW w:w="5405" w:type="dxa"/>
            <w:shd w:val="clear" w:color="auto" w:fill="FFBBAB"/>
            <w:noWrap/>
            <w:vAlign w:val="center"/>
            <w:hideMark/>
          </w:tcPr>
          <w:p w14:paraId="3AA5D7E6" w14:textId="77777777" w:rsidR="008266DA" w:rsidRPr="008266DA" w:rsidRDefault="008266DA" w:rsidP="008266DA">
            <w:pPr>
              <w:jc w:val="left"/>
            </w:pPr>
            <w:r w:rsidRPr="008266DA">
              <w:t>Programme de l'UE en faveur du marché unique</w:t>
            </w:r>
          </w:p>
        </w:tc>
      </w:tr>
      <w:tr w:rsidR="006914B0" w:rsidRPr="008266DA" w14:paraId="16E47095" w14:textId="77777777" w:rsidTr="006558B9">
        <w:trPr>
          <w:trHeight w:val="290"/>
        </w:trPr>
        <w:tc>
          <w:tcPr>
            <w:tcW w:w="4223" w:type="dxa"/>
            <w:noWrap/>
            <w:vAlign w:val="center"/>
            <w:hideMark/>
          </w:tcPr>
          <w:p w14:paraId="6717E6CB" w14:textId="04372DCB" w:rsidR="006914B0" w:rsidRPr="008266DA" w:rsidRDefault="006914B0" w:rsidP="008266DA">
            <w:pPr>
              <w:jc w:val="left"/>
            </w:pPr>
            <w:r w:rsidRPr="008266DA">
              <w:t>X</w:t>
            </w:r>
          </w:p>
        </w:tc>
        <w:tc>
          <w:tcPr>
            <w:tcW w:w="5405" w:type="dxa"/>
            <w:shd w:val="clear" w:color="auto" w:fill="FFBBAB"/>
            <w:noWrap/>
            <w:vAlign w:val="center"/>
            <w:hideMark/>
          </w:tcPr>
          <w:p w14:paraId="1AFDD516" w14:textId="53E480FD" w:rsidR="006914B0" w:rsidRPr="008266DA" w:rsidRDefault="006914B0" w:rsidP="008266DA">
            <w:pPr>
              <w:jc w:val="left"/>
            </w:pPr>
            <w:r w:rsidRPr="008266DA">
              <w:t>FTJ</w:t>
            </w:r>
          </w:p>
        </w:tc>
      </w:tr>
      <w:tr w:rsidR="006914B0" w:rsidRPr="008266DA" w14:paraId="1C00398B" w14:textId="77777777" w:rsidTr="006558B9">
        <w:trPr>
          <w:trHeight w:val="290"/>
        </w:trPr>
        <w:tc>
          <w:tcPr>
            <w:tcW w:w="4223" w:type="dxa"/>
            <w:noWrap/>
            <w:vAlign w:val="center"/>
            <w:hideMark/>
          </w:tcPr>
          <w:p w14:paraId="54BFB176" w14:textId="00354541" w:rsidR="006914B0" w:rsidRPr="008266DA" w:rsidRDefault="006914B0" w:rsidP="008266DA">
            <w:pPr>
              <w:jc w:val="left"/>
            </w:pPr>
            <w:r w:rsidRPr="008266DA">
              <w:t>X</w:t>
            </w:r>
          </w:p>
        </w:tc>
        <w:tc>
          <w:tcPr>
            <w:tcW w:w="5405" w:type="dxa"/>
            <w:shd w:val="clear" w:color="auto" w:fill="FFBBAB"/>
            <w:noWrap/>
            <w:vAlign w:val="center"/>
            <w:hideMark/>
          </w:tcPr>
          <w:p w14:paraId="5907D195" w14:textId="16AE6BD7" w:rsidR="006914B0" w:rsidRPr="008266DA" w:rsidRDefault="006914B0" w:rsidP="008266DA">
            <w:pPr>
              <w:jc w:val="left"/>
            </w:pPr>
            <w:r w:rsidRPr="008266DA">
              <w:t>React-EU FEADER</w:t>
            </w:r>
          </w:p>
        </w:tc>
      </w:tr>
      <w:tr w:rsidR="006914B0" w:rsidRPr="008266DA" w14:paraId="1347552D" w14:textId="77777777" w:rsidTr="006558B9">
        <w:trPr>
          <w:trHeight w:val="290"/>
        </w:trPr>
        <w:tc>
          <w:tcPr>
            <w:tcW w:w="4223" w:type="dxa"/>
            <w:noWrap/>
            <w:vAlign w:val="center"/>
            <w:hideMark/>
          </w:tcPr>
          <w:p w14:paraId="4FAC3900" w14:textId="3C6BC470" w:rsidR="006914B0" w:rsidRPr="008266DA" w:rsidRDefault="006914B0" w:rsidP="008266DA">
            <w:pPr>
              <w:jc w:val="left"/>
            </w:pPr>
            <w:r w:rsidRPr="008266DA">
              <w:t>X</w:t>
            </w:r>
          </w:p>
        </w:tc>
        <w:tc>
          <w:tcPr>
            <w:tcW w:w="5405" w:type="dxa"/>
            <w:shd w:val="clear" w:color="auto" w:fill="FFBBAB"/>
            <w:noWrap/>
            <w:vAlign w:val="center"/>
            <w:hideMark/>
          </w:tcPr>
          <w:p w14:paraId="1D1394FC" w14:textId="0D5BE0C7" w:rsidR="006914B0" w:rsidRPr="008266DA" w:rsidRDefault="006914B0" w:rsidP="008266DA">
            <w:pPr>
              <w:jc w:val="left"/>
            </w:pPr>
            <w:r w:rsidRPr="008266DA">
              <w:t>React-EU FSE +</w:t>
            </w:r>
          </w:p>
        </w:tc>
      </w:tr>
      <w:tr w:rsidR="006914B0" w:rsidRPr="008266DA" w14:paraId="49A9697C" w14:textId="77777777" w:rsidTr="006558B9">
        <w:trPr>
          <w:trHeight w:val="290"/>
        </w:trPr>
        <w:tc>
          <w:tcPr>
            <w:tcW w:w="4223" w:type="dxa"/>
            <w:noWrap/>
            <w:vAlign w:val="center"/>
            <w:hideMark/>
          </w:tcPr>
          <w:p w14:paraId="329B59B8" w14:textId="18CAE10D" w:rsidR="006914B0" w:rsidRPr="008266DA" w:rsidRDefault="006914B0" w:rsidP="008266DA">
            <w:pPr>
              <w:jc w:val="left"/>
            </w:pPr>
            <w:r w:rsidRPr="008266DA">
              <w:t>X</w:t>
            </w:r>
          </w:p>
        </w:tc>
        <w:tc>
          <w:tcPr>
            <w:tcW w:w="5405" w:type="dxa"/>
            <w:noWrap/>
            <w:vAlign w:val="center"/>
            <w:hideMark/>
          </w:tcPr>
          <w:p w14:paraId="0CCDAE6E" w14:textId="3A287063" w:rsidR="006914B0" w:rsidRPr="008266DA" w:rsidRDefault="006914B0" w:rsidP="008266DA">
            <w:pPr>
              <w:jc w:val="left"/>
            </w:pPr>
            <w:r w:rsidRPr="008266DA">
              <w:t>React-EU FEDER</w:t>
            </w:r>
          </w:p>
        </w:tc>
      </w:tr>
      <w:tr w:rsidR="007634C4" w:rsidRPr="008266DA" w14:paraId="5C8B4741" w14:textId="77777777" w:rsidTr="006914B0">
        <w:trPr>
          <w:trHeight w:val="290"/>
        </w:trPr>
        <w:tc>
          <w:tcPr>
            <w:tcW w:w="4223" w:type="dxa"/>
            <w:noWrap/>
            <w:vAlign w:val="center"/>
          </w:tcPr>
          <w:p w14:paraId="10968C98" w14:textId="7EBF00A0" w:rsidR="007634C4" w:rsidRPr="008266DA" w:rsidRDefault="007634C4" w:rsidP="008266DA">
            <w:pPr>
              <w:jc w:val="left"/>
            </w:pPr>
            <w:r>
              <w:t>X</w:t>
            </w:r>
          </w:p>
        </w:tc>
        <w:tc>
          <w:tcPr>
            <w:tcW w:w="5405" w:type="dxa"/>
            <w:noWrap/>
            <w:vAlign w:val="center"/>
          </w:tcPr>
          <w:p w14:paraId="7A9C62E8" w14:textId="1E098F69" w:rsidR="007634C4" w:rsidRPr="008266DA" w:rsidRDefault="007634C4" w:rsidP="008266DA">
            <w:pPr>
              <w:jc w:val="left"/>
            </w:pPr>
            <w:r>
              <w:t>France Relance</w:t>
            </w:r>
          </w:p>
        </w:tc>
      </w:tr>
    </w:tbl>
    <w:p w14:paraId="6F85F43D" w14:textId="2A84AE9A" w:rsidR="008266DA" w:rsidRDefault="008266DA" w:rsidP="00AE0A3A"/>
    <w:p w14:paraId="07645BCB" w14:textId="3C6C5670" w:rsidR="003A7092" w:rsidRDefault="003A7092" w:rsidP="003322C6">
      <w:r w:rsidRPr="006558B9">
        <w:rPr>
          <w:b/>
          <w:bCs/>
        </w:rPr>
        <w:t>NB</w:t>
      </w:r>
      <w:r>
        <w:t xml:space="preserve"> : Si le programme n’existait pas avant 2021, dans nos fichiers </w:t>
      </w:r>
      <w:r w:rsidR="1B5399B3">
        <w:t>E</w:t>
      </w:r>
      <w:r>
        <w:t>xcel nous indiquons par défaut le même nom que post 2021 (pour des raisons de codage).</w:t>
      </w:r>
    </w:p>
    <w:p w14:paraId="3CC543B9" w14:textId="5C66522E" w:rsidR="003322C6" w:rsidRPr="006558B9" w:rsidRDefault="003A7092">
      <w:r>
        <w:t>L</w:t>
      </w:r>
      <w:r w:rsidR="003322C6" w:rsidRPr="006558B9">
        <w:t xml:space="preserve">IFE fait exception : </w:t>
      </w:r>
      <w:r w:rsidR="00733600" w:rsidRPr="006558B9">
        <w:t>nous avons prévu de l'ajouter à moyen terme dans la base, mais à date le temps a manqué. Elle représente des petits</w:t>
      </w:r>
      <w:r w:rsidR="003322C6" w:rsidRPr="006558B9">
        <w:t xml:space="preserve"> montants : 539 millions </w:t>
      </w:r>
      <w:r w:rsidR="5092C61F">
        <w:t>tous secteurs confondus</w:t>
      </w:r>
      <w:r w:rsidR="003322C6" w:rsidRPr="006558B9">
        <w:t xml:space="preserve"> pour 2014-2020</w:t>
      </w:r>
      <w:r w:rsidR="00733600" w:rsidRPr="006558B9">
        <w:rPr>
          <w:rStyle w:val="Appelnotedebasdep"/>
        </w:rPr>
        <w:footnoteReference w:id="19"/>
      </w:r>
      <w:r w:rsidR="00066572">
        <w:t>.</w:t>
      </w:r>
    </w:p>
    <w:p w14:paraId="14A3C13B" w14:textId="23A59EDB" w:rsidR="00747D3D" w:rsidRDefault="00F2058B" w:rsidP="00371975">
      <w:r>
        <w:t xml:space="preserve">Nous faisons l’hypothèse que l’intégralité de du programme </w:t>
      </w:r>
      <w:r w:rsidRPr="00F10490">
        <w:t>FEDER REACT-EU</w:t>
      </w:r>
      <w:r>
        <w:t xml:space="preserve"> </w:t>
      </w:r>
      <w:r w:rsidR="005A7CB6">
        <w:t xml:space="preserve">correspond à la thématique </w:t>
      </w:r>
      <w:r w:rsidR="00DC15B9">
        <w:t>COVID</w:t>
      </w:r>
      <w:r w:rsidR="005A7CB6">
        <w:t xml:space="preserve">. </w:t>
      </w:r>
      <w:r w:rsidR="00747D3D">
        <w:t>En plus de REACT-UE, une partie des aides de chaque fond a pu être attribué</w:t>
      </w:r>
      <w:r w:rsidR="005A7CB6">
        <w:t>e</w:t>
      </w:r>
      <w:r w:rsidR="003F031B">
        <w:t xml:space="preserve"> </w:t>
      </w:r>
      <w:r w:rsidR="005A7CB6">
        <w:t xml:space="preserve">à la thématique </w:t>
      </w:r>
      <w:r w:rsidR="00DC15B9">
        <w:t>COVID</w:t>
      </w:r>
      <w:r w:rsidR="00E05CF1">
        <w:t xml:space="preserve">. Pour la ventilation des aides </w:t>
      </w:r>
      <w:r w:rsidR="00DC15B9">
        <w:t>COVID</w:t>
      </w:r>
      <w:r w:rsidR="000B60B3">
        <w:t xml:space="preserve"> et CRISES</w:t>
      </w:r>
      <w:r w:rsidR="00E05CF1">
        <w:t xml:space="preserve"> </w:t>
      </w:r>
      <w:r w:rsidR="009A4C0D">
        <w:t>sur les bénéficiaires, nous reprenons le même pourcentage que la même aide</w:t>
      </w:r>
      <w:r w:rsidR="001A0BCE">
        <w:t xml:space="preserve"> mais hors </w:t>
      </w:r>
      <w:r w:rsidR="00DC15B9">
        <w:t>COVID</w:t>
      </w:r>
      <w:r w:rsidR="000B60B3">
        <w:t xml:space="preserve"> et CRISES</w:t>
      </w:r>
      <w:r w:rsidR="001A0BCE">
        <w:t>.</w:t>
      </w:r>
      <w:r w:rsidR="002B0E01">
        <w:t xml:space="preserve"> Nous faisons ainsi l’hypothèse que la clé de répartition est la même entre les aides </w:t>
      </w:r>
      <w:r w:rsidR="00DC15B9">
        <w:t>COVID</w:t>
      </w:r>
      <w:r w:rsidR="000B60B3">
        <w:t>/CRISES</w:t>
      </w:r>
      <w:r w:rsidR="002B0E01">
        <w:t xml:space="preserve"> et non </w:t>
      </w:r>
      <w:r w:rsidR="00DC15B9">
        <w:t>COVID</w:t>
      </w:r>
      <w:r w:rsidR="000B60B3">
        <w:t>/CRISES</w:t>
      </w:r>
      <w:r w:rsidR="00951D28">
        <w:t>, au sein d’un même programme.</w:t>
      </w:r>
    </w:p>
    <w:p w14:paraId="15D7551F" w14:textId="77777777" w:rsidR="003322C6" w:rsidRDefault="003322C6" w:rsidP="00371975"/>
    <w:p w14:paraId="173F5FC7" w14:textId="0C715E3A" w:rsidR="00ED1660" w:rsidRDefault="00ED1660" w:rsidP="001B6CA9">
      <w:pPr>
        <w:pStyle w:val="Titre2"/>
      </w:pPr>
      <w:bookmarkStart w:id="94" w:name="_Toc177052089"/>
      <w:r>
        <w:lastRenderedPageBreak/>
        <w:t>Bénéficiaires</w:t>
      </w:r>
      <w:bookmarkEnd w:id="94"/>
    </w:p>
    <w:p w14:paraId="49E16728" w14:textId="2F828ABA" w:rsidR="0063760D" w:rsidRPr="0063760D" w:rsidRDefault="0063760D" w:rsidP="006558B9">
      <w:pPr>
        <w:pStyle w:val="Titre3"/>
      </w:pPr>
      <w:bookmarkStart w:id="95" w:name="_Toc177052090"/>
      <w:r>
        <w:t>Mode opératoire général</w:t>
      </w:r>
      <w:bookmarkEnd w:id="95"/>
    </w:p>
    <w:p w14:paraId="31240F30" w14:textId="5E66676A" w:rsidR="004610EB" w:rsidRDefault="00053B22" w:rsidP="00371975">
      <w:r>
        <w:t xml:space="preserve">Pour </w:t>
      </w:r>
      <w:r w:rsidR="005E7C2E">
        <w:t>chacune des aides, nous recherchons la liste des projets financés</w:t>
      </w:r>
      <w:r w:rsidR="00792FAE">
        <w:t xml:space="preserve">. Nous établissons ensuite une liste de mots-clés que nous recherchons dans la description des projets. La ventilation entre les bénéficiaires se fait à partir de cette liste de </w:t>
      </w:r>
      <w:r>
        <w:t>mots</w:t>
      </w:r>
      <w:r w:rsidR="00792FAE">
        <w:t>-</w:t>
      </w:r>
      <w:r w:rsidRPr="00792FAE">
        <w:t xml:space="preserve">clés. </w:t>
      </w:r>
      <w:r w:rsidR="00792FAE" w:rsidRPr="00792FAE">
        <w:t>Ces derniers sont listés ci-dessous, avec la correspondance des bénéficiaires.</w:t>
      </w:r>
    </w:p>
    <w:tbl>
      <w:tblPr>
        <w:tblStyle w:val="Grilledutableau"/>
        <w:tblW w:w="9192" w:type="dxa"/>
        <w:jc w:val="center"/>
        <w:tblLook w:val="04A0" w:firstRow="1" w:lastRow="0" w:firstColumn="1" w:lastColumn="0" w:noHBand="0" w:noVBand="1"/>
      </w:tblPr>
      <w:tblGrid>
        <w:gridCol w:w="2740"/>
        <w:gridCol w:w="2217"/>
        <w:gridCol w:w="4235"/>
      </w:tblGrid>
      <w:tr w:rsidR="00EF6B85" w:rsidRPr="00F252AA" w14:paraId="34DF08E1" w14:textId="3829C49A" w:rsidTr="006558B9">
        <w:trPr>
          <w:trHeight w:val="290"/>
          <w:jc w:val="center"/>
        </w:trPr>
        <w:tc>
          <w:tcPr>
            <w:tcW w:w="2740" w:type="dxa"/>
            <w:shd w:val="clear" w:color="auto" w:fill="000000" w:themeFill="text1"/>
            <w:noWrap/>
          </w:tcPr>
          <w:p w14:paraId="4F0ADBF0" w14:textId="0943C4AE" w:rsidR="00EF6B85" w:rsidRPr="006558B9" w:rsidRDefault="0AB3086E" w:rsidP="3ED15E17">
            <w:pPr>
              <w:jc w:val="center"/>
              <w:rPr>
                <w:rFonts w:eastAsia="Source Sans Pro Light" w:cs="Source Sans Pro Light"/>
                <w:b/>
                <w:bCs/>
              </w:rPr>
            </w:pPr>
            <w:r w:rsidRPr="006558B9">
              <w:rPr>
                <w:rFonts w:eastAsia="Source Sans Pro Light" w:cs="Source Sans Pro Light"/>
                <w:b/>
                <w:bCs/>
              </w:rPr>
              <w:t>Mots-clés recherchés</w:t>
            </w:r>
          </w:p>
        </w:tc>
        <w:tc>
          <w:tcPr>
            <w:tcW w:w="2217" w:type="dxa"/>
            <w:shd w:val="clear" w:color="auto" w:fill="000000" w:themeFill="text1"/>
          </w:tcPr>
          <w:p w14:paraId="35586747" w14:textId="65D445CE" w:rsidR="00EF6B85" w:rsidRPr="006558B9" w:rsidRDefault="0AB3086E" w:rsidP="3ED15E17">
            <w:pPr>
              <w:jc w:val="center"/>
              <w:rPr>
                <w:rFonts w:eastAsia="Source Sans Pro Light" w:cs="Source Sans Pro Light"/>
                <w:b/>
                <w:bCs/>
              </w:rPr>
            </w:pPr>
            <w:r w:rsidRPr="006558B9">
              <w:rPr>
                <w:rFonts w:eastAsia="Source Sans Pro Light" w:cs="Source Sans Pro Light"/>
                <w:b/>
                <w:bCs/>
              </w:rPr>
              <w:t>Exclusions</w:t>
            </w:r>
          </w:p>
        </w:tc>
        <w:tc>
          <w:tcPr>
            <w:tcW w:w="4235" w:type="dxa"/>
            <w:shd w:val="clear" w:color="auto" w:fill="000000" w:themeFill="text1"/>
            <w:noWrap/>
          </w:tcPr>
          <w:p w14:paraId="6EA46C63" w14:textId="288ABFE1" w:rsidR="00EF6B85" w:rsidRPr="006558B9" w:rsidRDefault="0AB3086E" w:rsidP="3ED15E17">
            <w:pPr>
              <w:jc w:val="center"/>
              <w:rPr>
                <w:rFonts w:eastAsia="Source Sans Pro Light" w:cs="Source Sans Pro Light"/>
                <w:b/>
                <w:bCs/>
              </w:rPr>
            </w:pPr>
            <w:r w:rsidRPr="006558B9">
              <w:rPr>
                <w:rFonts w:eastAsia="Source Sans Pro Light" w:cs="Source Sans Pro Light"/>
                <w:b/>
                <w:bCs/>
              </w:rPr>
              <w:t>Bénéficiaire niveau 1</w:t>
            </w:r>
          </w:p>
        </w:tc>
      </w:tr>
      <w:tr w:rsidR="00EF6B85" w:rsidRPr="00F252AA" w14:paraId="61DC5482" w14:textId="7D99D44D" w:rsidTr="006558B9">
        <w:trPr>
          <w:trHeight w:val="290"/>
          <w:jc w:val="center"/>
        </w:trPr>
        <w:tc>
          <w:tcPr>
            <w:tcW w:w="2740" w:type="dxa"/>
            <w:noWrap/>
            <w:vAlign w:val="center"/>
            <w:hideMark/>
          </w:tcPr>
          <w:p w14:paraId="707E32FF" w14:textId="199A2F24" w:rsidR="00EF6B85" w:rsidRPr="006B12A6" w:rsidRDefault="0AB3086E" w:rsidP="006558B9">
            <w:pPr>
              <w:jc w:val="left"/>
              <w:rPr>
                <w:rFonts w:eastAsia="Source Sans Pro Light" w:cs="Source Sans Pro Light"/>
              </w:rPr>
            </w:pPr>
            <w:r w:rsidRPr="006558B9">
              <w:rPr>
                <w:rFonts w:eastAsia="Source Sans Pro Light" w:cs="Source Sans Pro Light"/>
              </w:rPr>
              <w:t>intrant</w:t>
            </w:r>
          </w:p>
        </w:tc>
        <w:tc>
          <w:tcPr>
            <w:tcW w:w="2217" w:type="dxa"/>
            <w:vAlign w:val="center"/>
          </w:tcPr>
          <w:p w14:paraId="47EDE61E" w14:textId="77777777" w:rsidR="00EF6B85" w:rsidRPr="006558B9" w:rsidRDefault="00EF6B85" w:rsidP="006558B9">
            <w:pPr>
              <w:jc w:val="left"/>
              <w:rPr>
                <w:rFonts w:eastAsia="Source Sans Pro Light" w:cs="Source Sans Pro Light"/>
              </w:rPr>
            </w:pPr>
          </w:p>
        </w:tc>
        <w:tc>
          <w:tcPr>
            <w:tcW w:w="4235" w:type="dxa"/>
            <w:noWrap/>
            <w:vAlign w:val="center"/>
            <w:hideMark/>
          </w:tcPr>
          <w:p w14:paraId="34775A9F" w14:textId="4B0F458E" w:rsidR="00EF6B85" w:rsidRPr="006B12A6" w:rsidRDefault="0AB3086E" w:rsidP="006558B9">
            <w:pPr>
              <w:jc w:val="left"/>
              <w:rPr>
                <w:rFonts w:eastAsia="Source Sans Pro Light" w:cs="Source Sans Pro Light"/>
              </w:rPr>
            </w:pPr>
            <w:r w:rsidRPr="006558B9">
              <w:rPr>
                <w:rFonts w:eastAsia="Source Sans Pro Light" w:cs="Source Sans Pro Light"/>
              </w:rPr>
              <w:t>PRODINTR</w:t>
            </w:r>
          </w:p>
        </w:tc>
      </w:tr>
      <w:tr w:rsidR="00EF6B85" w:rsidRPr="00F252AA" w14:paraId="05FB0B9A" w14:textId="7AE95045" w:rsidTr="006558B9">
        <w:trPr>
          <w:trHeight w:val="290"/>
          <w:jc w:val="center"/>
        </w:trPr>
        <w:tc>
          <w:tcPr>
            <w:tcW w:w="2740" w:type="dxa"/>
            <w:noWrap/>
            <w:vAlign w:val="center"/>
            <w:hideMark/>
          </w:tcPr>
          <w:p w14:paraId="5CA2FBC2" w14:textId="23EC2B62" w:rsidR="00EF6B85" w:rsidRPr="006B12A6" w:rsidRDefault="0AB3086E" w:rsidP="006558B9">
            <w:pPr>
              <w:jc w:val="left"/>
              <w:rPr>
                <w:rFonts w:eastAsia="Source Sans Pro Light" w:cs="Source Sans Pro Light"/>
              </w:rPr>
            </w:pPr>
            <w:r w:rsidRPr="006558B9">
              <w:rPr>
                <w:rFonts w:eastAsia="Source Sans Pro Light" w:cs="Source Sans Pro Light"/>
              </w:rPr>
              <w:t>agri</w:t>
            </w:r>
          </w:p>
        </w:tc>
        <w:tc>
          <w:tcPr>
            <w:tcW w:w="2217" w:type="dxa"/>
            <w:vAlign w:val="center"/>
          </w:tcPr>
          <w:p w14:paraId="5693D047" w14:textId="77777777" w:rsidR="00EF6B85" w:rsidRPr="006558B9" w:rsidRDefault="00EF6B85" w:rsidP="006558B9">
            <w:pPr>
              <w:jc w:val="left"/>
              <w:rPr>
                <w:rFonts w:eastAsia="Source Sans Pro Light" w:cs="Source Sans Pro Light"/>
              </w:rPr>
            </w:pPr>
          </w:p>
        </w:tc>
        <w:tc>
          <w:tcPr>
            <w:tcW w:w="4235" w:type="dxa"/>
            <w:noWrap/>
            <w:vAlign w:val="center"/>
            <w:hideMark/>
          </w:tcPr>
          <w:p w14:paraId="73A116F8" w14:textId="36491D6D"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0308676E" w14:textId="1D2A2250" w:rsidTr="006558B9">
        <w:trPr>
          <w:trHeight w:val="290"/>
          <w:jc w:val="center"/>
        </w:trPr>
        <w:tc>
          <w:tcPr>
            <w:tcW w:w="2740" w:type="dxa"/>
            <w:noWrap/>
            <w:vAlign w:val="center"/>
            <w:hideMark/>
          </w:tcPr>
          <w:p w14:paraId="0AF8CED1" w14:textId="2DFABBBC" w:rsidR="00EF6B85" w:rsidRPr="006B12A6" w:rsidRDefault="0AB3086E" w:rsidP="006558B9">
            <w:pPr>
              <w:jc w:val="left"/>
              <w:rPr>
                <w:rFonts w:eastAsia="Source Sans Pro Light" w:cs="Source Sans Pro Light"/>
              </w:rPr>
            </w:pPr>
            <w:r w:rsidRPr="006558B9">
              <w:rPr>
                <w:rFonts w:eastAsia="Source Sans Pro Light" w:cs="Source Sans Pro Light"/>
              </w:rPr>
              <w:t>élevage</w:t>
            </w:r>
          </w:p>
        </w:tc>
        <w:tc>
          <w:tcPr>
            <w:tcW w:w="2217" w:type="dxa"/>
            <w:vAlign w:val="center"/>
          </w:tcPr>
          <w:p w14:paraId="25ED615A" w14:textId="77777777" w:rsidR="00EF6B85" w:rsidRPr="006558B9" w:rsidRDefault="00EF6B85" w:rsidP="006558B9">
            <w:pPr>
              <w:jc w:val="left"/>
              <w:rPr>
                <w:rFonts w:eastAsia="Source Sans Pro Light" w:cs="Source Sans Pro Light"/>
              </w:rPr>
            </w:pPr>
          </w:p>
        </w:tc>
        <w:tc>
          <w:tcPr>
            <w:tcW w:w="4235" w:type="dxa"/>
            <w:noWrap/>
            <w:vAlign w:val="center"/>
            <w:hideMark/>
          </w:tcPr>
          <w:p w14:paraId="0622E06D" w14:textId="0700ECAC"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2D885384" w14:textId="093B2E0D" w:rsidTr="006558B9">
        <w:trPr>
          <w:trHeight w:val="290"/>
          <w:jc w:val="center"/>
        </w:trPr>
        <w:tc>
          <w:tcPr>
            <w:tcW w:w="2740" w:type="dxa"/>
            <w:noWrap/>
            <w:vAlign w:val="center"/>
            <w:hideMark/>
          </w:tcPr>
          <w:p w14:paraId="7474926B" w14:textId="49844000" w:rsidR="00EF6B85" w:rsidRPr="006B12A6" w:rsidRDefault="0AB3086E" w:rsidP="006558B9">
            <w:pPr>
              <w:jc w:val="left"/>
              <w:rPr>
                <w:rFonts w:eastAsia="Source Sans Pro Light" w:cs="Source Sans Pro Light"/>
              </w:rPr>
            </w:pPr>
            <w:r w:rsidRPr="006558B9">
              <w:rPr>
                <w:rFonts w:eastAsia="Source Sans Pro Light" w:cs="Source Sans Pro Light"/>
              </w:rPr>
              <w:t>ferm</w:t>
            </w:r>
          </w:p>
        </w:tc>
        <w:tc>
          <w:tcPr>
            <w:tcW w:w="2217" w:type="dxa"/>
            <w:vAlign w:val="center"/>
          </w:tcPr>
          <w:p w14:paraId="6E4840BD" w14:textId="77777777" w:rsidR="00EF6B85" w:rsidRPr="006558B9" w:rsidRDefault="00EF6B85" w:rsidP="006558B9">
            <w:pPr>
              <w:jc w:val="left"/>
              <w:rPr>
                <w:rFonts w:eastAsia="Source Sans Pro Light" w:cs="Source Sans Pro Light"/>
              </w:rPr>
            </w:pPr>
          </w:p>
        </w:tc>
        <w:tc>
          <w:tcPr>
            <w:tcW w:w="4235" w:type="dxa"/>
            <w:noWrap/>
            <w:vAlign w:val="center"/>
            <w:hideMark/>
          </w:tcPr>
          <w:p w14:paraId="3721FA33" w14:textId="71981EB5"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689F65F3" w14:textId="2FA806B3" w:rsidTr="006558B9">
        <w:trPr>
          <w:trHeight w:val="290"/>
          <w:jc w:val="center"/>
        </w:trPr>
        <w:tc>
          <w:tcPr>
            <w:tcW w:w="2740" w:type="dxa"/>
            <w:noWrap/>
            <w:vAlign w:val="center"/>
            <w:hideMark/>
          </w:tcPr>
          <w:p w14:paraId="61F8B263" w14:textId="73DEF65E" w:rsidR="00EF6B85" w:rsidRPr="006B12A6" w:rsidRDefault="0AB3086E" w:rsidP="006558B9">
            <w:pPr>
              <w:jc w:val="left"/>
              <w:rPr>
                <w:rFonts w:eastAsia="Source Sans Pro Light" w:cs="Source Sans Pro Light"/>
              </w:rPr>
            </w:pPr>
            <w:r w:rsidRPr="006558B9">
              <w:rPr>
                <w:rFonts w:eastAsia="Source Sans Pro Light" w:cs="Source Sans Pro Light"/>
              </w:rPr>
              <w:t>céréal</w:t>
            </w:r>
          </w:p>
        </w:tc>
        <w:tc>
          <w:tcPr>
            <w:tcW w:w="2217" w:type="dxa"/>
            <w:vAlign w:val="center"/>
          </w:tcPr>
          <w:p w14:paraId="1A03A887" w14:textId="77777777" w:rsidR="00EF6B85" w:rsidRPr="006558B9" w:rsidRDefault="00EF6B85" w:rsidP="006558B9">
            <w:pPr>
              <w:jc w:val="left"/>
              <w:rPr>
                <w:rFonts w:eastAsia="Source Sans Pro Light" w:cs="Source Sans Pro Light"/>
              </w:rPr>
            </w:pPr>
          </w:p>
        </w:tc>
        <w:tc>
          <w:tcPr>
            <w:tcW w:w="4235" w:type="dxa"/>
            <w:noWrap/>
            <w:vAlign w:val="center"/>
            <w:hideMark/>
          </w:tcPr>
          <w:p w14:paraId="1CE06C17" w14:textId="4B9E74A6"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39ACC7EA" w14:textId="0CA21B36" w:rsidTr="006558B9">
        <w:trPr>
          <w:trHeight w:val="290"/>
          <w:jc w:val="center"/>
        </w:trPr>
        <w:tc>
          <w:tcPr>
            <w:tcW w:w="2740" w:type="dxa"/>
            <w:noWrap/>
            <w:vAlign w:val="center"/>
            <w:hideMark/>
          </w:tcPr>
          <w:p w14:paraId="461712F0" w14:textId="18EDF1ED" w:rsidR="00EF6B85" w:rsidRPr="006B12A6" w:rsidRDefault="0AB3086E" w:rsidP="006558B9">
            <w:pPr>
              <w:jc w:val="left"/>
              <w:rPr>
                <w:rFonts w:eastAsia="Source Sans Pro Light" w:cs="Source Sans Pro Light"/>
              </w:rPr>
            </w:pPr>
            <w:r w:rsidRPr="006558B9">
              <w:rPr>
                <w:rFonts w:eastAsia="Source Sans Pro Light" w:cs="Source Sans Pro Light"/>
              </w:rPr>
              <w:t>bovin</w:t>
            </w:r>
          </w:p>
        </w:tc>
        <w:tc>
          <w:tcPr>
            <w:tcW w:w="2217" w:type="dxa"/>
            <w:vAlign w:val="center"/>
          </w:tcPr>
          <w:p w14:paraId="3043A412" w14:textId="77777777" w:rsidR="00EF6B85" w:rsidRPr="006558B9" w:rsidRDefault="00EF6B85" w:rsidP="006558B9">
            <w:pPr>
              <w:jc w:val="left"/>
              <w:rPr>
                <w:rFonts w:eastAsia="Source Sans Pro Light" w:cs="Source Sans Pro Light"/>
              </w:rPr>
            </w:pPr>
          </w:p>
        </w:tc>
        <w:tc>
          <w:tcPr>
            <w:tcW w:w="4235" w:type="dxa"/>
            <w:noWrap/>
            <w:vAlign w:val="center"/>
            <w:hideMark/>
          </w:tcPr>
          <w:p w14:paraId="7E3E5E18" w14:textId="7B66E0F8"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5245586E" w14:textId="22939F4E" w:rsidTr="006558B9">
        <w:trPr>
          <w:trHeight w:val="290"/>
          <w:jc w:val="center"/>
        </w:trPr>
        <w:tc>
          <w:tcPr>
            <w:tcW w:w="2740" w:type="dxa"/>
            <w:noWrap/>
            <w:vAlign w:val="center"/>
            <w:hideMark/>
          </w:tcPr>
          <w:p w14:paraId="347E25F7" w14:textId="34D17C10" w:rsidR="00EF6B85" w:rsidRPr="006B12A6" w:rsidRDefault="0AB3086E" w:rsidP="006558B9">
            <w:pPr>
              <w:jc w:val="left"/>
              <w:rPr>
                <w:rFonts w:eastAsia="Source Sans Pro Light" w:cs="Source Sans Pro Light"/>
              </w:rPr>
            </w:pPr>
            <w:r w:rsidRPr="006558B9">
              <w:rPr>
                <w:rFonts w:eastAsia="Source Sans Pro Light" w:cs="Source Sans Pro Light"/>
              </w:rPr>
              <w:t>ovin</w:t>
            </w:r>
          </w:p>
        </w:tc>
        <w:tc>
          <w:tcPr>
            <w:tcW w:w="2217" w:type="dxa"/>
            <w:vAlign w:val="center"/>
          </w:tcPr>
          <w:p w14:paraId="03153819" w14:textId="77777777" w:rsidR="00EF6B85" w:rsidRPr="006558B9" w:rsidRDefault="00EF6B85" w:rsidP="006558B9">
            <w:pPr>
              <w:jc w:val="left"/>
              <w:rPr>
                <w:rFonts w:eastAsia="Source Sans Pro Light" w:cs="Source Sans Pro Light"/>
              </w:rPr>
            </w:pPr>
          </w:p>
        </w:tc>
        <w:tc>
          <w:tcPr>
            <w:tcW w:w="4235" w:type="dxa"/>
            <w:noWrap/>
            <w:vAlign w:val="center"/>
            <w:hideMark/>
          </w:tcPr>
          <w:p w14:paraId="668332EB" w14:textId="63912FED"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638DC2BB" w14:textId="6940A3D6" w:rsidTr="006558B9">
        <w:trPr>
          <w:trHeight w:val="290"/>
          <w:jc w:val="center"/>
        </w:trPr>
        <w:tc>
          <w:tcPr>
            <w:tcW w:w="2740" w:type="dxa"/>
            <w:noWrap/>
            <w:vAlign w:val="center"/>
            <w:hideMark/>
          </w:tcPr>
          <w:p w14:paraId="495E65DA" w14:textId="53E88731" w:rsidR="00EF6B85" w:rsidRPr="006B12A6" w:rsidRDefault="0AB3086E" w:rsidP="006558B9">
            <w:pPr>
              <w:jc w:val="left"/>
              <w:rPr>
                <w:rFonts w:eastAsia="Source Sans Pro Light" w:cs="Source Sans Pro Light"/>
              </w:rPr>
            </w:pPr>
            <w:r w:rsidRPr="006558B9">
              <w:rPr>
                <w:rFonts w:eastAsia="Source Sans Pro Light" w:cs="Source Sans Pro Light"/>
              </w:rPr>
              <w:t>caprin</w:t>
            </w:r>
          </w:p>
        </w:tc>
        <w:tc>
          <w:tcPr>
            <w:tcW w:w="2217" w:type="dxa"/>
            <w:vAlign w:val="center"/>
          </w:tcPr>
          <w:p w14:paraId="08844AD0" w14:textId="77777777" w:rsidR="00EF6B85" w:rsidRPr="006558B9" w:rsidRDefault="00EF6B85" w:rsidP="006558B9">
            <w:pPr>
              <w:jc w:val="left"/>
              <w:rPr>
                <w:rFonts w:eastAsia="Source Sans Pro Light" w:cs="Source Sans Pro Light"/>
              </w:rPr>
            </w:pPr>
          </w:p>
        </w:tc>
        <w:tc>
          <w:tcPr>
            <w:tcW w:w="4235" w:type="dxa"/>
            <w:noWrap/>
            <w:vAlign w:val="center"/>
            <w:hideMark/>
          </w:tcPr>
          <w:p w14:paraId="457639A2" w14:textId="1A973274"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415C6CC2" w14:textId="02C580A9" w:rsidTr="006558B9">
        <w:trPr>
          <w:trHeight w:val="290"/>
          <w:jc w:val="center"/>
        </w:trPr>
        <w:tc>
          <w:tcPr>
            <w:tcW w:w="2740" w:type="dxa"/>
            <w:noWrap/>
            <w:vAlign w:val="center"/>
            <w:hideMark/>
          </w:tcPr>
          <w:p w14:paraId="507479B1" w14:textId="357742D7" w:rsidR="00EF6B85" w:rsidRPr="006B12A6" w:rsidRDefault="0AB3086E" w:rsidP="006558B9">
            <w:pPr>
              <w:jc w:val="left"/>
              <w:rPr>
                <w:rFonts w:eastAsia="Source Sans Pro Light" w:cs="Source Sans Pro Light"/>
              </w:rPr>
            </w:pPr>
            <w:r w:rsidRPr="006558B9">
              <w:rPr>
                <w:rFonts w:eastAsia="Source Sans Pro Light" w:cs="Source Sans Pro Light"/>
              </w:rPr>
              <w:t>volaille</w:t>
            </w:r>
          </w:p>
        </w:tc>
        <w:tc>
          <w:tcPr>
            <w:tcW w:w="2217" w:type="dxa"/>
            <w:vAlign w:val="center"/>
          </w:tcPr>
          <w:p w14:paraId="759791A4" w14:textId="77777777" w:rsidR="00EF6B85" w:rsidRPr="006558B9" w:rsidRDefault="00EF6B85" w:rsidP="006558B9">
            <w:pPr>
              <w:jc w:val="left"/>
              <w:rPr>
                <w:rFonts w:eastAsia="Source Sans Pro Light" w:cs="Source Sans Pro Light"/>
              </w:rPr>
            </w:pPr>
          </w:p>
        </w:tc>
        <w:tc>
          <w:tcPr>
            <w:tcW w:w="4235" w:type="dxa"/>
            <w:noWrap/>
            <w:vAlign w:val="center"/>
            <w:hideMark/>
          </w:tcPr>
          <w:p w14:paraId="1F6D5B83" w14:textId="3B4BFC83"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0FBFCF75" w14:textId="43DE5ABB" w:rsidTr="006558B9">
        <w:trPr>
          <w:trHeight w:val="290"/>
          <w:jc w:val="center"/>
        </w:trPr>
        <w:tc>
          <w:tcPr>
            <w:tcW w:w="2740" w:type="dxa"/>
            <w:noWrap/>
            <w:vAlign w:val="center"/>
            <w:hideMark/>
          </w:tcPr>
          <w:p w14:paraId="11C522D9" w14:textId="6D22EF39" w:rsidR="00EF6B85" w:rsidRPr="006B12A6" w:rsidRDefault="0AB3086E" w:rsidP="006558B9">
            <w:pPr>
              <w:jc w:val="left"/>
              <w:rPr>
                <w:rFonts w:eastAsia="Source Sans Pro Light" w:cs="Source Sans Pro Light"/>
              </w:rPr>
            </w:pPr>
            <w:r w:rsidRPr="006558B9">
              <w:rPr>
                <w:rFonts w:eastAsia="Source Sans Pro Light" w:cs="Source Sans Pro Light"/>
              </w:rPr>
              <w:t>porc</w:t>
            </w:r>
          </w:p>
        </w:tc>
        <w:tc>
          <w:tcPr>
            <w:tcW w:w="2217" w:type="dxa"/>
            <w:vAlign w:val="center"/>
          </w:tcPr>
          <w:p w14:paraId="65CA9137" w14:textId="77777777" w:rsidR="00EF6B85" w:rsidRPr="006558B9" w:rsidRDefault="00EF6B85" w:rsidP="006558B9">
            <w:pPr>
              <w:jc w:val="left"/>
              <w:rPr>
                <w:rFonts w:eastAsia="Source Sans Pro Light" w:cs="Source Sans Pro Light"/>
              </w:rPr>
            </w:pPr>
          </w:p>
        </w:tc>
        <w:tc>
          <w:tcPr>
            <w:tcW w:w="4235" w:type="dxa"/>
            <w:noWrap/>
            <w:vAlign w:val="center"/>
            <w:hideMark/>
          </w:tcPr>
          <w:p w14:paraId="52D6A68A" w14:textId="70406267"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6D62AFD2" w14:textId="4CDD6245" w:rsidTr="006558B9">
        <w:trPr>
          <w:trHeight w:val="290"/>
          <w:jc w:val="center"/>
        </w:trPr>
        <w:tc>
          <w:tcPr>
            <w:tcW w:w="2740" w:type="dxa"/>
            <w:noWrap/>
            <w:vAlign w:val="center"/>
            <w:hideMark/>
          </w:tcPr>
          <w:p w14:paraId="4C866E61" w14:textId="710BFDA1" w:rsidR="00EF6B85" w:rsidRPr="006B12A6" w:rsidRDefault="0AB3086E" w:rsidP="006558B9">
            <w:pPr>
              <w:jc w:val="left"/>
              <w:rPr>
                <w:rFonts w:eastAsia="Source Sans Pro Light" w:cs="Source Sans Pro Light"/>
              </w:rPr>
            </w:pPr>
            <w:r w:rsidRPr="006558B9">
              <w:rPr>
                <w:rFonts w:eastAsia="Source Sans Pro Light" w:cs="Source Sans Pro Light"/>
              </w:rPr>
              <w:t>légumin</w:t>
            </w:r>
          </w:p>
        </w:tc>
        <w:tc>
          <w:tcPr>
            <w:tcW w:w="2217" w:type="dxa"/>
            <w:vAlign w:val="center"/>
          </w:tcPr>
          <w:p w14:paraId="314795EF" w14:textId="77777777" w:rsidR="00EF6B85" w:rsidRPr="006558B9" w:rsidRDefault="00EF6B85" w:rsidP="006558B9">
            <w:pPr>
              <w:jc w:val="left"/>
              <w:rPr>
                <w:rFonts w:eastAsia="Source Sans Pro Light" w:cs="Source Sans Pro Light"/>
              </w:rPr>
            </w:pPr>
          </w:p>
        </w:tc>
        <w:tc>
          <w:tcPr>
            <w:tcW w:w="4235" w:type="dxa"/>
            <w:noWrap/>
            <w:vAlign w:val="center"/>
            <w:hideMark/>
          </w:tcPr>
          <w:p w14:paraId="5C4565E3" w14:textId="740DFF33"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55B8F033" w14:textId="35C02A01" w:rsidTr="006558B9">
        <w:trPr>
          <w:trHeight w:val="290"/>
          <w:jc w:val="center"/>
        </w:trPr>
        <w:tc>
          <w:tcPr>
            <w:tcW w:w="2740" w:type="dxa"/>
            <w:noWrap/>
            <w:vAlign w:val="center"/>
            <w:hideMark/>
          </w:tcPr>
          <w:p w14:paraId="7DFFFCE0" w14:textId="58042F27" w:rsidR="00EF6B85" w:rsidRPr="006B12A6" w:rsidRDefault="0AB3086E" w:rsidP="006558B9">
            <w:pPr>
              <w:jc w:val="left"/>
              <w:rPr>
                <w:rFonts w:eastAsia="Source Sans Pro Light" w:cs="Source Sans Pro Light"/>
              </w:rPr>
            </w:pPr>
            <w:r w:rsidRPr="006558B9">
              <w:rPr>
                <w:rFonts w:eastAsia="Source Sans Pro Light" w:cs="Source Sans Pro Light"/>
              </w:rPr>
              <w:t>protéin</w:t>
            </w:r>
          </w:p>
        </w:tc>
        <w:tc>
          <w:tcPr>
            <w:tcW w:w="2217" w:type="dxa"/>
            <w:vAlign w:val="center"/>
          </w:tcPr>
          <w:p w14:paraId="316E8ECA" w14:textId="77777777" w:rsidR="00EF6B85" w:rsidRPr="006558B9" w:rsidRDefault="00EF6B85" w:rsidP="006558B9">
            <w:pPr>
              <w:jc w:val="left"/>
              <w:rPr>
                <w:rFonts w:eastAsia="Source Sans Pro Light" w:cs="Source Sans Pro Light"/>
              </w:rPr>
            </w:pPr>
          </w:p>
        </w:tc>
        <w:tc>
          <w:tcPr>
            <w:tcW w:w="4235" w:type="dxa"/>
            <w:noWrap/>
            <w:vAlign w:val="center"/>
            <w:hideMark/>
          </w:tcPr>
          <w:p w14:paraId="60952BAA" w14:textId="3391CD1A"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36E27A1A" w14:textId="26900897" w:rsidTr="006558B9">
        <w:trPr>
          <w:trHeight w:val="290"/>
          <w:jc w:val="center"/>
        </w:trPr>
        <w:tc>
          <w:tcPr>
            <w:tcW w:w="2740" w:type="dxa"/>
            <w:noWrap/>
            <w:vAlign w:val="center"/>
            <w:hideMark/>
          </w:tcPr>
          <w:p w14:paraId="32E3AD65" w14:textId="7B76216E" w:rsidR="00EF6B85" w:rsidRPr="006B12A6" w:rsidRDefault="0AB3086E" w:rsidP="006558B9">
            <w:pPr>
              <w:jc w:val="left"/>
              <w:rPr>
                <w:rFonts w:eastAsia="Source Sans Pro Light" w:cs="Source Sans Pro Light"/>
              </w:rPr>
            </w:pPr>
            <w:r w:rsidRPr="006558B9">
              <w:rPr>
                <w:rFonts w:eastAsia="Source Sans Pro Light" w:cs="Source Sans Pro Light"/>
              </w:rPr>
              <w:t>fruit</w:t>
            </w:r>
          </w:p>
        </w:tc>
        <w:tc>
          <w:tcPr>
            <w:tcW w:w="2217" w:type="dxa"/>
            <w:vAlign w:val="center"/>
          </w:tcPr>
          <w:p w14:paraId="4286DA10" w14:textId="77777777" w:rsidR="00EF6B85" w:rsidRPr="006558B9" w:rsidRDefault="00EF6B85" w:rsidP="006558B9">
            <w:pPr>
              <w:jc w:val="left"/>
              <w:rPr>
                <w:rFonts w:eastAsia="Source Sans Pro Light" w:cs="Source Sans Pro Light"/>
              </w:rPr>
            </w:pPr>
          </w:p>
        </w:tc>
        <w:tc>
          <w:tcPr>
            <w:tcW w:w="4235" w:type="dxa"/>
            <w:noWrap/>
            <w:vAlign w:val="center"/>
            <w:hideMark/>
          </w:tcPr>
          <w:p w14:paraId="637FBF80" w14:textId="7DED61A2"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62E4043E" w14:textId="7F7831FF" w:rsidTr="006558B9">
        <w:trPr>
          <w:trHeight w:val="290"/>
          <w:jc w:val="center"/>
        </w:trPr>
        <w:tc>
          <w:tcPr>
            <w:tcW w:w="2740" w:type="dxa"/>
            <w:noWrap/>
            <w:vAlign w:val="center"/>
            <w:hideMark/>
          </w:tcPr>
          <w:p w14:paraId="297300CD" w14:textId="16C77A9E" w:rsidR="00EF6B85" w:rsidRPr="006B12A6" w:rsidRDefault="0AB3086E" w:rsidP="006558B9">
            <w:pPr>
              <w:jc w:val="left"/>
              <w:rPr>
                <w:rFonts w:eastAsia="Source Sans Pro Light" w:cs="Source Sans Pro Light"/>
              </w:rPr>
            </w:pPr>
            <w:r w:rsidRPr="006558B9">
              <w:rPr>
                <w:rFonts w:eastAsia="Source Sans Pro Light" w:cs="Source Sans Pro Light"/>
              </w:rPr>
              <w:t>légum</w:t>
            </w:r>
          </w:p>
        </w:tc>
        <w:tc>
          <w:tcPr>
            <w:tcW w:w="2217" w:type="dxa"/>
            <w:vAlign w:val="center"/>
          </w:tcPr>
          <w:p w14:paraId="01F5F599" w14:textId="77777777" w:rsidR="00EF6B85" w:rsidRPr="006558B9" w:rsidRDefault="00EF6B85" w:rsidP="006558B9">
            <w:pPr>
              <w:jc w:val="left"/>
              <w:rPr>
                <w:rFonts w:eastAsia="Source Sans Pro Light" w:cs="Source Sans Pro Light"/>
              </w:rPr>
            </w:pPr>
          </w:p>
        </w:tc>
        <w:tc>
          <w:tcPr>
            <w:tcW w:w="4235" w:type="dxa"/>
            <w:noWrap/>
            <w:vAlign w:val="center"/>
            <w:hideMark/>
          </w:tcPr>
          <w:p w14:paraId="3BF28BA5" w14:textId="7DB7AF20"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4E51122B" w14:textId="38B87333" w:rsidTr="006558B9">
        <w:trPr>
          <w:trHeight w:val="290"/>
          <w:jc w:val="center"/>
        </w:trPr>
        <w:tc>
          <w:tcPr>
            <w:tcW w:w="2740" w:type="dxa"/>
            <w:noWrap/>
            <w:vAlign w:val="center"/>
            <w:hideMark/>
          </w:tcPr>
          <w:p w14:paraId="6083AD6A" w14:textId="0AC65384" w:rsidR="00EF6B85" w:rsidRPr="006B12A6" w:rsidRDefault="0AB3086E" w:rsidP="006558B9">
            <w:pPr>
              <w:jc w:val="left"/>
              <w:rPr>
                <w:rFonts w:eastAsia="Source Sans Pro Light" w:cs="Source Sans Pro Light"/>
              </w:rPr>
            </w:pPr>
            <w:r w:rsidRPr="006558B9">
              <w:rPr>
                <w:rFonts w:eastAsia="Source Sans Pro Light" w:cs="Source Sans Pro Light"/>
              </w:rPr>
              <w:t>champ</w:t>
            </w:r>
          </w:p>
        </w:tc>
        <w:tc>
          <w:tcPr>
            <w:tcW w:w="2217" w:type="dxa"/>
            <w:vAlign w:val="center"/>
          </w:tcPr>
          <w:p w14:paraId="5876EDB6" w14:textId="77777777" w:rsidR="00EF6B85" w:rsidRPr="006558B9" w:rsidRDefault="00EF6B85" w:rsidP="006558B9">
            <w:pPr>
              <w:jc w:val="left"/>
              <w:rPr>
                <w:rFonts w:eastAsia="Source Sans Pro Light" w:cs="Source Sans Pro Light"/>
              </w:rPr>
            </w:pPr>
          </w:p>
        </w:tc>
        <w:tc>
          <w:tcPr>
            <w:tcW w:w="4235" w:type="dxa"/>
            <w:noWrap/>
            <w:vAlign w:val="center"/>
            <w:hideMark/>
          </w:tcPr>
          <w:p w14:paraId="36A0B51E" w14:textId="757EB036" w:rsidR="00EF6B85" w:rsidRPr="006B12A6" w:rsidRDefault="0AB3086E" w:rsidP="006558B9">
            <w:pPr>
              <w:jc w:val="left"/>
              <w:rPr>
                <w:rFonts w:eastAsia="Source Sans Pro Light" w:cs="Source Sans Pro Light"/>
              </w:rPr>
            </w:pPr>
            <w:r w:rsidRPr="006558B9">
              <w:rPr>
                <w:rFonts w:eastAsia="Source Sans Pro Light" w:cs="Source Sans Pro Light"/>
              </w:rPr>
              <w:t>PRODAGRI</w:t>
            </w:r>
          </w:p>
        </w:tc>
      </w:tr>
      <w:tr w:rsidR="00EF6B85" w:rsidRPr="00F252AA" w14:paraId="7F89BFCF" w14:textId="43843D97" w:rsidTr="006558B9">
        <w:trPr>
          <w:trHeight w:val="290"/>
          <w:jc w:val="center"/>
        </w:trPr>
        <w:tc>
          <w:tcPr>
            <w:tcW w:w="2740" w:type="dxa"/>
            <w:noWrap/>
            <w:vAlign w:val="center"/>
            <w:hideMark/>
          </w:tcPr>
          <w:p w14:paraId="1732E666" w14:textId="183B0FD7" w:rsidR="00EF6B85" w:rsidRPr="006B12A6" w:rsidRDefault="0AB3086E" w:rsidP="006558B9">
            <w:pPr>
              <w:jc w:val="left"/>
              <w:rPr>
                <w:rFonts w:eastAsia="Source Sans Pro Light" w:cs="Source Sans Pro Light"/>
              </w:rPr>
            </w:pPr>
            <w:r w:rsidRPr="006558B9">
              <w:rPr>
                <w:rFonts w:eastAsia="Source Sans Pro Light" w:cs="Source Sans Pro Light"/>
              </w:rPr>
              <w:t>conchic</w:t>
            </w:r>
          </w:p>
        </w:tc>
        <w:tc>
          <w:tcPr>
            <w:tcW w:w="2217" w:type="dxa"/>
            <w:vAlign w:val="center"/>
          </w:tcPr>
          <w:p w14:paraId="771636C4" w14:textId="77777777" w:rsidR="00EF6B85" w:rsidRPr="006558B9" w:rsidRDefault="00EF6B85" w:rsidP="006558B9">
            <w:pPr>
              <w:jc w:val="left"/>
              <w:rPr>
                <w:rFonts w:eastAsia="Source Sans Pro Light" w:cs="Source Sans Pro Light"/>
              </w:rPr>
            </w:pPr>
          </w:p>
        </w:tc>
        <w:tc>
          <w:tcPr>
            <w:tcW w:w="4235" w:type="dxa"/>
            <w:noWrap/>
            <w:vAlign w:val="center"/>
            <w:hideMark/>
          </w:tcPr>
          <w:p w14:paraId="16BD8450" w14:textId="2CDB6746" w:rsidR="00EF6B85" w:rsidRPr="006B12A6" w:rsidRDefault="0AB3086E" w:rsidP="006558B9">
            <w:pPr>
              <w:jc w:val="left"/>
              <w:rPr>
                <w:rFonts w:eastAsia="Source Sans Pro Light" w:cs="Source Sans Pro Light"/>
              </w:rPr>
            </w:pPr>
            <w:r w:rsidRPr="006558B9">
              <w:rPr>
                <w:rFonts w:eastAsia="Source Sans Pro Light" w:cs="Source Sans Pro Light"/>
              </w:rPr>
              <w:t>PECHAQUA</w:t>
            </w:r>
          </w:p>
        </w:tc>
      </w:tr>
      <w:tr w:rsidR="00EF6B85" w:rsidRPr="00F252AA" w14:paraId="22AF0BD9" w14:textId="0A94FEDF" w:rsidTr="006558B9">
        <w:trPr>
          <w:trHeight w:val="290"/>
          <w:jc w:val="center"/>
        </w:trPr>
        <w:tc>
          <w:tcPr>
            <w:tcW w:w="2740" w:type="dxa"/>
            <w:noWrap/>
            <w:vAlign w:val="center"/>
            <w:hideMark/>
          </w:tcPr>
          <w:p w14:paraId="629064BA" w14:textId="7815BCCC" w:rsidR="00EF6B85" w:rsidRPr="006B12A6" w:rsidRDefault="0AB3086E" w:rsidP="006558B9">
            <w:pPr>
              <w:jc w:val="left"/>
              <w:rPr>
                <w:rFonts w:eastAsia="Source Sans Pro Light" w:cs="Source Sans Pro Light"/>
              </w:rPr>
            </w:pPr>
            <w:r w:rsidRPr="006558B9">
              <w:rPr>
                <w:rFonts w:eastAsia="Source Sans Pro Light" w:cs="Source Sans Pro Light"/>
              </w:rPr>
              <w:t>pêche</w:t>
            </w:r>
          </w:p>
        </w:tc>
        <w:tc>
          <w:tcPr>
            <w:tcW w:w="2217" w:type="dxa"/>
            <w:vAlign w:val="center"/>
          </w:tcPr>
          <w:p w14:paraId="31995A07" w14:textId="6F211444" w:rsidR="00EF6B85" w:rsidRPr="006558B9" w:rsidRDefault="2F7174A1" w:rsidP="006558B9">
            <w:pPr>
              <w:jc w:val="left"/>
              <w:rPr>
                <w:rFonts w:eastAsia="Source Sans Pro Light" w:cs="Source Sans Pro Light"/>
              </w:rPr>
            </w:pPr>
            <w:r w:rsidRPr="006558B9">
              <w:rPr>
                <w:rFonts w:eastAsia="Source Sans Pro Light" w:cs="Source Sans Pro Light"/>
              </w:rPr>
              <w:t>aquac</w:t>
            </w:r>
          </w:p>
        </w:tc>
        <w:tc>
          <w:tcPr>
            <w:tcW w:w="4235" w:type="dxa"/>
            <w:noWrap/>
            <w:vAlign w:val="center"/>
            <w:hideMark/>
          </w:tcPr>
          <w:p w14:paraId="58752F93" w14:textId="74F8CC2D" w:rsidR="00EF6B85" w:rsidRPr="006B12A6" w:rsidRDefault="0AB3086E" w:rsidP="006558B9">
            <w:pPr>
              <w:jc w:val="left"/>
              <w:rPr>
                <w:rFonts w:eastAsia="Source Sans Pro Light" w:cs="Source Sans Pro Light"/>
              </w:rPr>
            </w:pPr>
            <w:r w:rsidRPr="006558B9">
              <w:rPr>
                <w:rFonts w:eastAsia="Source Sans Pro Light" w:cs="Source Sans Pro Light"/>
              </w:rPr>
              <w:t>PECHAQUA</w:t>
            </w:r>
          </w:p>
        </w:tc>
      </w:tr>
      <w:tr w:rsidR="00EF6B85" w:rsidRPr="00F252AA" w14:paraId="786920AE" w14:textId="260D2FFB" w:rsidTr="006558B9">
        <w:trPr>
          <w:trHeight w:val="290"/>
          <w:jc w:val="center"/>
        </w:trPr>
        <w:tc>
          <w:tcPr>
            <w:tcW w:w="2740" w:type="dxa"/>
            <w:noWrap/>
            <w:vAlign w:val="center"/>
            <w:hideMark/>
          </w:tcPr>
          <w:p w14:paraId="30663775" w14:textId="07BDD41C" w:rsidR="00EF6B85" w:rsidRPr="006B12A6" w:rsidRDefault="0AB3086E" w:rsidP="006558B9">
            <w:pPr>
              <w:jc w:val="left"/>
              <w:rPr>
                <w:rFonts w:eastAsia="Source Sans Pro Light" w:cs="Source Sans Pro Light"/>
              </w:rPr>
            </w:pPr>
            <w:r w:rsidRPr="006558B9">
              <w:rPr>
                <w:rFonts w:eastAsia="Source Sans Pro Light" w:cs="Source Sans Pro Light"/>
              </w:rPr>
              <w:t>aquac</w:t>
            </w:r>
          </w:p>
        </w:tc>
        <w:tc>
          <w:tcPr>
            <w:tcW w:w="2217" w:type="dxa"/>
            <w:vAlign w:val="center"/>
          </w:tcPr>
          <w:p w14:paraId="75658249" w14:textId="3A43F52B" w:rsidR="00EF6B85" w:rsidRPr="006558B9" w:rsidRDefault="2F7174A1" w:rsidP="006558B9">
            <w:pPr>
              <w:jc w:val="left"/>
              <w:rPr>
                <w:rFonts w:eastAsia="Source Sans Pro Light" w:cs="Source Sans Pro Light"/>
              </w:rPr>
            </w:pPr>
            <w:r w:rsidRPr="006558B9">
              <w:rPr>
                <w:rFonts w:eastAsia="Source Sans Pro Light" w:cs="Source Sans Pro Light"/>
              </w:rPr>
              <w:t>pêche</w:t>
            </w:r>
          </w:p>
        </w:tc>
        <w:tc>
          <w:tcPr>
            <w:tcW w:w="4235" w:type="dxa"/>
            <w:noWrap/>
            <w:vAlign w:val="center"/>
            <w:hideMark/>
          </w:tcPr>
          <w:p w14:paraId="5C6A631C" w14:textId="187EF018" w:rsidR="00EF6B85" w:rsidRPr="006B12A6" w:rsidRDefault="0AB3086E" w:rsidP="006558B9">
            <w:pPr>
              <w:jc w:val="left"/>
              <w:rPr>
                <w:rFonts w:eastAsia="Source Sans Pro Light" w:cs="Source Sans Pro Light"/>
              </w:rPr>
            </w:pPr>
            <w:r w:rsidRPr="006558B9">
              <w:rPr>
                <w:rFonts w:eastAsia="Source Sans Pro Light" w:cs="Source Sans Pro Light"/>
              </w:rPr>
              <w:t>PECHAQUA</w:t>
            </w:r>
          </w:p>
        </w:tc>
      </w:tr>
      <w:tr w:rsidR="00EF6B85" w:rsidRPr="00F252AA" w14:paraId="741F72C5" w14:textId="44874C9C" w:rsidTr="006558B9">
        <w:trPr>
          <w:trHeight w:val="290"/>
          <w:jc w:val="center"/>
        </w:trPr>
        <w:tc>
          <w:tcPr>
            <w:tcW w:w="2740" w:type="dxa"/>
            <w:noWrap/>
            <w:vAlign w:val="center"/>
            <w:hideMark/>
          </w:tcPr>
          <w:p w14:paraId="7417A88C" w14:textId="58CD8BDA" w:rsidR="00EF6B85" w:rsidRPr="006B12A6" w:rsidRDefault="0AB3086E" w:rsidP="006558B9">
            <w:pPr>
              <w:jc w:val="left"/>
              <w:rPr>
                <w:rFonts w:eastAsia="Source Sans Pro Light" w:cs="Source Sans Pro Light"/>
              </w:rPr>
            </w:pPr>
            <w:r w:rsidRPr="006558B9">
              <w:rPr>
                <w:rFonts w:eastAsia="Source Sans Pro Light" w:cs="Source Sans Pro Light"/>
              </w:rPr>
              <w:t>agro</w:t>
            </w:r>
          </w:p>
        </w:tc>
        <w:tc>
          <w:tcPr>
            <w:tcW w:w="2217" w:type="dxa"/>
            <w:vAlign w:val="center"/>
          </w:tcPr>
          <w:p w14:paraId="73F64D61" w14:textId="39951156" w:rsidR="00EF6B85" w:rsidRPr="006558B9" w:rsidRDefault="2F7174A1" w:rsidP="006558B9">
            <w:pPr>
              <w:jc w:val="left"/>
              <w:rPr>
                <w:rFonts w:eastAsia="Source Sans Pro Light" w:cs="Source Sans Pro Light"/>
              </w:rPr>
            </w:pPr>
            <w:r w:rsidRPr="006558B9">
              <w:rPr>
                <w:rFonts w:eastAsia="Source Sans Pro Light" w:cs="Source Sans Pro Light"/>
              </w:rPr>
              <w:t>agri</w:t>
            </w:r>
          </w:p>
        </w:tc>
        <w:tc>
          <w:tcPr>
            <w:tcW w:w="4235" w:type="dxa"/>
            <w:noWrap/>
            <w:vAlign w:val="center"/>
            <w:hideMark/>
          </w:tcPr>
          <w:p w14:paraId="4AA9EE15" w14:textId="607B20CE" w:rsidR="00EF6B85" w:rsidRPr="006B12A6" w:rsidRDefault="0AB3086E" w:rsidP="006558B9">
            <w:pPr>
              <w:jc w:val="left"/>
              <w:rPr>
                <w:rFonts w:eastAsia="Source Sans Pro Light" w:cs="Source Sans Pro Light"/>
              </w:rPr>
            </w:pPr>
            <w:r w:rsidRPr="006558B9">
              <w:rPr>
                <w:rFonts w:eastAsia="Source Sans Pro Light" w:cs="Source Sans Pro Light"/>
              </w:rPr>
              <w:t>TRANSFO</w:t>
            </w:r>
          </w:p>
        </w:tc>
      </w:tr>
      <w:tr w:rsidR="00EF6B85" w:rsidRPr="00F252AA" w14:paraId="29C2BF76" w14:textId="3D4328A8" w:rsidTr="006558B9">
        <w:trPr>
          <w:trHeight w:val="290"/>
          <w:jc w:val="center"/>
        </w:trPr>
        <w:tc>
          <w:tcPr>
            <w:tcW w:w="2740" w:type="dxa"/>
            <w:noWrap/>
            <w:vAlign w:val="center"/>
            <w:hideMark/>
          </w:tcPr>
          <w:p w14:paraId="7582D2EB" w14:textId="6EA66D47" w:rsidR="00EF6B85" w:rsidRPr="006B12A6" w:rsidRDefault="0AB3086E" w:rsidP="006558B9">
            <w:pPr>
              <w:jc w:val="left"/>
              <w:rPr>
                <w:rFonts w:eastAsia="Source Sans Pro Light" w:cs="Source Sans Pro Light"/>
              </w:rPr>
            </w:pPr>
            <w:r w:rsidRPr="006558B9">
              <w:rPr>
                <w:rFonts w:eastAsia="Source Sans Pro Light" w:cs="Source Sans Pro Light"/>
              </w:rPr>
              <w:t>IAA</w:t>
            </w:r>
          </w:p>
        </w:tc>
        <w:tc>
          <w:tcPr>
            <w:tcW w:w="2217" w:type="dxa"/>
            <w:vAlign w:val="center"/>
          </w:tcPr>
          <w:p w14:paraId="02A942D1" w14:textId="77777777" w:rsidR="00EF6B85" w:rsidRPr="006558B9" w:rsidRDefault="00EF6B85" w:rsidP="006558B9">
            <w:pPr>
              <w:jc w:val="left"/>
              <w:rPr>
                <w:rFonts w:eastAsia="Source Sans Pro Light" w:cs="Source Sans Pro Light"/>
              </w:rPr>
            </w:pPr>
          </w:p>
        </w:tc>
        <w:tc>
          <w:tcPr>
            <w:tcW w:w="4235" w:type="dxa"/>
            <w:noWrap/>
            <w:vAlign w:val="center"/>
            <w:hideMark/>
          </w:tcPr>
          <w:p w14:paraId="36E27C2E" w14:textId="01BB32F6" w:rsidR="00EF6B85" w:rsidRPr="006B12A6" w:rsidRDefault="0AB3086E" w:rsidP="006558B9">
            <w:pPr>
              <w:jc w:val="left"/>
              <w:rPr>
                <w:rFonts w:eastAsia="Source Sans Pro Light" w:cs="Source Sans Pro Light"/>
              </w:rPr>
            </w:pPr>
            <w:r w:rsidRPr="006558B9">
              <w:rPr>
                <w:rFonts w:eastAsia="Source Sans Pro Light" w:cs="Source Sans Pro Light"/>
              </w:rPr>
              <w:t>TRANSFO</w:t>
            </w:r>
          </w:p>
        </w:tc>
      </w:tr>
      <w:tr w:rsidR="00EF6B85" w:rsidRPr="00F252AA" w14:paraId="7B51FA57" w14:textId="72B3C94F" w:rsidTr="006558B9">
        <w:trPr>
          <w:trHeight w:val="290"/>
          <w:jc w:val="center"/>
        </w:trPr>
        <w:tc>
          <w:tcPr>
            <w:tcW w:w="2740" w:type="dxa"/>
            <w:noWrap/>
            <w:vAlign w:val="center"/>
            <w:hideMark/>
          </w:tcPr>
          <w:p w14:paraId="2F37E809" w14:textId="059EA5B8" w:rsidR="00EF6B85" w:rsidRPr="006B12A6" w:rsidRDefault="0AB3086E" w:rsidP="006558B9">
            <w:pPr>
              <w:jc w:val="left"/>
              <w:rPr>
                <w:rFonts w:eastAsia="Source Sans Pro Light" w:cs="Source Sans Pro Light"/>
              </w:rPr>
            </w:pPr>
            <w:r w:rsidRPr="006558B9">
              <w:rPr>
                <w:rFonts w:eastAsia="Source Sans Pro Light" w:cs="Source Sans Pro Light"/>
              </w:rPr>
              <w:t>restau</w:t>
            </w:r>
          </w:p>
        </w:tc>
        <w:tc>
          <w:tcPr>
            <w:tcW w:w="2217" w:type="dxa"/>
            <w:vAlign w:val="center"/>
          </w:tcPr>
          <w:p w14:paraId="7DAB9FF7" w14:textId="28B495E5" w:rsidR="00EF6B85" w:rsidRPr="006558B9" w:rsidRDefault="2F7174A1" w:rsidP="006558B9">
            <w:pPr>
              <w:jc w:val="left"/>
              <w:rPr>
                <w:rFonts w:eastAsia="Source Sans Pro Light" w:cs="Source Sans Pro Light"/>
              </w:rPr>
            </w:pPr>
            <w:r w:rsidRPr="006558B9">
              <w:rPr>
                <w:rFonts w:eastAsia="Source Sans Pro Light" w:cs="Source Sans Pro Light"/>
              </w:rPr>
              <w:t>grande gastron</w:t>
            </w:r>
          </w:p>
        </w:tc>
        <w:tc>
          <w:tcPr>
            <w:tcW w:w="4235" w:type="dxa"/>
            <w:noWrap/>
            <w:vAlign w:val="center"/>
            <w:hideMark/>
          </w:tcPr>
          <w:p w14:paraId="0ECD76C4" w14:textId="3248269D" w:rsidR="00EF6B85" w:rsidRPr="006B12A6" w:rsidRDefault="0AB3086E" w:rsidP="006558B9">
            <w:pPr>
              <w:jc w:val="left"/>
              <w:rPr>
                <w:rFonts w:eastAsia="Source Sans Pro Light" w:cs="Source Sans Pro Light"/>
              </w:rPr>
            </w:pPr>
            <w:r w:rsidRPr="006558B9">
              <w:rPr>
                <w:rFonts w:eastAsia="Source Sans Pro Light" w:cs="Source Sans Pro Light"/>
              </w:rPr>
              <w:t>RHD</w:t>
            </w:r>
          </w:p>
        </w:tc>
      </w:tr>
      <w:tr w:rsidR="00EF6B85" w:rsidRPr="00F252AA" w14:paraId="73B02906" w14:textId="6960D427" w:rsidTr="006558B9">
        <w:trPr>
          <w:trHeight w:val="290"/>
          <w:jc w:val="center"/>
        </w:trPr>
        <w:tc>
          <w:tcPr>
            <w:tcW w:w="2740" w:type="dxa"/>
            <w:noWrap/>
            <w:vAlign w:val="center"/>
            <w:hideMark/>
          </w:tcPr>
          <w:p w14:paraId="12FDE434" w14:textId="14FE2A4C" w:rsidR="00EF6B85" w:rsidRPr="006B12A6" w:rsidRDefault="0AB3086E" w:rsidP="006558B9">
            <w:pPr>
              <w:jc w:val="left"/>
              <w:rPr>
                <w:rFonts w:eastAsia="Source Sans Pro Light" w:cs="Source Sans Pro Light"/>
              </w:rPr>
            </w:pPr>
            <w:r w:rsidRPr="006558B9">
              <w:rPr>
                <w:rFonts w:eastAsia="Source Sans Pro Light" w:cs="Source Sans Pro Light"/>
              </w:rPr>
              <w:t>alim</w:t>
            </w:r>
          </w:p>
        </w:tc>
        <w:tc>
          <w:tcPr>
            <w:tcW w:w="2217" w:type="dxa"/>
            <w:vAlign w:val="center"/>
          </w:tcPr>
          <w:p w14:paraId="7B3A7A7A" w14:textId="53B99752" w:rsidR="00EF6B85" w:rsidRPr="006558B9" w:rsidRDefault="2F7174A1" w:rsidP="006558B9">
            <w:pPr>
              <w:jc w:val="left"/>
              <w:rPr>
                <w:rFonts w:eastAsia="Source Sans Pro Light" w:cs="Source Sans Pro Light"/>
              </w:rPr>
            </w:pPr>
            <w:r w:rsidRPr="006558B9">
              <w:rPr>
                <w:rFonts w:eastAsia="Source Sans Pro Light" w:cs="Source Sans Pro Light"/>
              </w:rPr>
              <w:t>agro</w:t>
            </w:r>
          </w:p>
        </w:tc>
        <w:tc>
          <w:tcPr>
            <w:tcW w:w="4235" w:type="dxa"/>
            <w:noWrap/>
            <w:vAlign w:val="center"/>
            <w:hideMark/>
          </w:tcPr>
          <w:p w14:paraId="31285776" w14:textId="75A964F5" w:rsidR="00EF6B85" w:rsidRPr="006B12A6" w:rsidRDefault="0AB3086E" w:rsidP="006558B9">
            <w:pPr>
              <w:jc w:val="left"/>
              <w:rPr>
                <w:rFonts w:eastAsia="Source Sans Pro Light" w:cs="Source Sans Pro Light"/>
              </w:rPr>
            </w:pPr>
            <w:r w:rsidRPr="006558B9">
              <w:rPr>
                <w:rFonts w:eastAsia="Source Sans Pro Light" w:cs="Source Sans Pro Light"/>
              </w:rPr>
              <w:t>DISTRIB</w:t>
            </w:r>
          </w:p>
        </w:tc>
      </w:tr>
      <w:tr w:rsidR="00EF6B85" w:rsidRPr="00F252AA" w14:paraId="08DF7468" w14:textId="6D03E368" w:rsidTr="006558B9">
        <w:trPr>
          <w:trHeight w:val="290"/>
          <w:jc w:val="center"/>
        </w:trPr>
        <w:tc>
          <w:tcPr>
            <w:tcW w:w="2740" w:type="dxa"/>
            <w:noWrap/>
            <w:vAlign w:val="center"/>
            <w:hideMark/>
          </w:tcPr>
          <w:p w14:paraId="4822BF3E" w14:textId="7E930E2A" w:rsidR="00EF6B85" w:rsidRPr="006B12A6" w:rsidRDefault="0AB3086E" w:rsidP="006558B9">
            <w:pPr>
              <w:jc w:val="left"/>
              <w:rPr>
                <w:rFonts w:eastAsia="Source Sans Pro Light" w:cs="Source Sans Pro Light"/>
              </w:rPr>
            </w:pPr>
            <w:r w:rsidRPr="006558B9">
              <w:rPr>
                <w:rFonts w:eastAsia="Source Sans Pro Light" w:cs="Source Sans Pro Light"/>
              </w:rPr>
              <w:t>grande gastron</w:t>
            </w:r>
          </w:p>
        </w:tc>
        <w:tc>
          <w:tcPr>
            <w:tcW w:w="2217" w:type="dxa"/>
            <w:vAlign w:val="center"/>
          </w:tcPr>
          <w:p w14:paraId="26361652" w14:textId="77777777" w:rsidR="00EF6B85" w:rsidRPr="006558B9" w:rsidRDefault="00EF6B85" w:rsidP="006558B9">
            <w:pPr>
              <w:jc w:val="left"/>
              <w:rPr>
                <w:rFonts w:eastAsia="Source Sans Pro Light" w:cs="Source Sans Pro Light"/>
              </w:rPr>
            </w:pPr>
          </w:p>
        </w:tc>
        <w:tc>
          <w:tcPr>
            <w:tcW w:w="4235" w:type="dxa"/>
            <w:noWrap/>
            <w:vAlign w:val="center"/>
            <w:hideMark/>
          </w:tcPr>
          <w:p w14:paraId="780F954C" w14:textId="6A934CED" w:rsidR="00EF6B85" w:rsidRPr="006B12A6" w:rsidRDefault="0AB3086E" w:rsidP="006558B9">
            <w:pPr>
              <w:jc w:val="left"/>
              <w:rPr>
                <w:rFonts w:eastAsia="Source Sans Pro Light" w:cs="Source Sans Pro Light"/>
              </w:rPr>
            </w:pPr>
            <w:r w:rsidRPr="006558B9">
              <w:rPr>
                <w:rFonts w:eastAsia="Source Sans Pro Light" w:cs="Source Sans Pro Light"/>
              </w:rPr>
              <w:t>RHD</w:t>
            </w:r>
          </w:p>
        </w:tc>
      </w:tr>
      <w:tr w:rsidR="00EF6B85" w:rsidRPr="00F252AA" w14:paraId="0774B769" w14:textId="32A8EA07" w:rsidTr="006558B9">
        <w:trPr>
          <w:trHeight w:val="290"/>
          <w:jc w:val="center"/>
        </w:trPr>
        <w:tc>
          <w:tcPr>
            <w:tcW w:w="2740" w:type="dxa"/>
            <w:noWrap/>
            <w:vAlign w:val="center"/>
          </w:tcPr>
          <w:p w14:paraId="7F816D8E" w14:textId="2FFB210D" w:rsidR="00EF6B85" w:rsidRPr="006B12A6" w:rsidRDefault="0AB3086E" w:rsidP="006558B9">
            <w:pPr>
              <w:jc w:val="left"/>
              <w:rPr>
                <w:rFonts w:eastAsia="Source Sans Pro Light" w:cs="Source Sans Pro Light"/>
              </w:rPr>
            </w:pPr>
            <w:r w:rsidRPr="006558B9">
              <w:rPr>
                <w:rFonts w:eastAsia="Source Sans Pro Light" w:cs="Source Sans Pro Light"/>
              </w:rPr>
              <w:t>recherche</w:t>
            </w:r>
          </w:p>
        </w:tc>
        <w:tc>
          <w:tcPr>
            <w:tcW w:w="2217" w:type="dxa"/>
            <w:vAlign w:val="center"/>
          </w:tcPr>
          <w:p w14:paraId="2A45D505" w14:textId="77777777" w:rsidR="00EF6B85" w:rsidRPr="006558B9" w:rsidRDefault="00EF6B85" w:rsidP="006558B9">
            <w:pPr>
              <w:jc w:val="left"/>
              <w:rPr>
                <w:rFonts w:eastAsia="Source Sans Pro Light" w:cs="Source Sans Pro Light"/>
              </w:rPr>
            </w:pPr>
          </w:p>
        </w:tc>
        <w:tc>
          <w:tcPr>
            <w:tcW w:w="4235" w:type="dxa"/>
            <w:noWrap/>
            <w:vAlign w:val="center"/>
          </w:tcPr>
          <w:p w14:paraId="2354CE22" w14:textId="502FBA5A" w:rsidR="00EF6B85" w:rsidRPr="006B12A6" w:rsidRDefault="0AB3086E" w:rsidP="006558B9">
            <w:pPr>
              <w:jc w:val="left"/>
              <w:rPr>
                <w:rFonts w:eastAsia="Source Sans Pro Light" w:cs="Source Sans Pro Light"/>
              </w:rPr>
            </w:pPr>
            <w:r w:rsidRPr="006558B9">
              <w:rPr>
                <w:rFonts w:eastAsia="Source Sans Pro Light" w:cs="Source Sans Pro Light"/>
              </w:rPr>
              <w:t>TRANSVERSE</w:t>
            </w:r>
          </w:p>
        </w:tc>
      </w:tr>
      <w:tr w:rsidR="00EF6B85" w:rsidRPr="00F252AA" w14:paraId="21783F24" w14:textId="2E7E2D6F" w:rsidTr="006558B9">
        <w:trPr>
          <w:trHeight w:val="290"/>
          <w:jc w:val="center"/>
        </w:trPr>
        <w:tc>
          <w:tcPr>
            <w:tcW w:w="2740" w:type="dxa"/>
            <w:noWrap/>
            <w:vAlign w:val="center"/>
          </w:tcPr>
          <w:p w14:paraId="23ACEE72" w14:textId="665CCC61" w:rsidR="00EF6B85" w:rsidRPr="006B12A6" w:rsidRDefault="00DC15B9" w:rsidP="006558B9">
            <w:pPr>
              <w:jc w:val="left"/>
              <w:rPr>
                <w:rFonts w:eastAsia="Source Sans Pro Light" w:cs="Source Sans Pro Light"/>
              </w:rPr>
            </w:pPr>
            <w:r>
              <w:rPr>
                <w:rFonts w:eastAsia="Source Sans Pro Light" w:cs="Source Sans Pro Light"/>
              </w:rPr>
              <w:t>COVID</w:t>
            </w:r>
          </w:p>
        </w:tc>
        <w:tc>
          <w:tcPr>
            <w:tcW w:w="2217" w:type="dxa"/>
            <w:vAlign w:val="center"/>
          </w:tcPr>
          <w:p w14:paraId="3E609A4D" w14:textId="77777777" w:rsidR="00EF6B85" w:rsidRPr="006558B9" w:rsidRDefault="00EF6B85" w:rsidP="006558B9">
            <w:pPr>
              <w:jc w:val="left"/>
              <w:rPr>
                <w:rFonts w:eastAsia="Source Sans Pro Light" w:cs="Source Sans Pro Light"/>
              </w:rPr>
            </w:pPr>
          </w:p>
        </w:tc>
        <w:tc>
          <w:tcPr>
            <w:tcW w:w="4235" w:type="dxa"/>
            <w:noWrap/>
            <w:vAlign w:val="center"/>
          </w:tcPr>
          <w:p w14:paraId="3C4440D7" w14:textId="1F17FB4C" w:rsidR="00EF6B85" w:rsidRPr="006B12A6" w:rsidRDefault="00DC15B9" w:rsidP="006558B9">
            <w:pPr>
              <w:jc w:val="left"/>
              <w:rPr>
                <w:rFonts w:eastAsia="Source Sans Pro Light" w:cs="Source Sans Pro Light"/>
              </w:rPr>
            </w:pPr>
            <w:r>
              <w:rPr>
                <w:rFonts w:eastAsia="Source Sans Pro Light" w:cs="Source Sans Pro Light"/>
              </w:rPr>
              <w:t>COVID</w:t>
            </w:r>
            <w:r w:rsidR="002B29F5" w:rsidRPr="006558B9">
              <w:rPr>
                <w:rFonts w:eastAsia="Source Sans Pro Light" w:cs="Source Sans Pro Light"/>
              </w:rPr>
              <w:t>*</w:t>
            </w:r>
          </w:p>
        </w:tc>
      </w:tr>
      <w:tr w:rsidR="00EF6B85" w:rsidRPr="00F252AA" w14:paraId="242F426F" w14:textId="23DDF7C8" w:rsidTr="006558B9">
        <w:trPr>
          <w:trHeight w:val="290"/>
          <w:jc w:val="center"/>
        </w:trPr>
        <w:tc>
          <w:tcPr>
            <w:tcW w:w="2740" w:type="dxa"/>
            <w:noWrap/>
            <w:vAlign w:val="center"/>
          </w:tcPr>
          <w:p w14:paraId="1D1B030D" w14:textId="00C11241" w:rsidR="00EF6B85" w:rsidRPr="006B12A6" w:rsidRDefault="0AB3086E" w:rsidP="006558B9">
            <w:pPr>
              <w:jc w:val="left"/>
              <w:rPr>
                <w:rFonts w:eastAsia="Source Sans Pro Light" w:cs="Source Sans Pro Light"/>
              </w:rPr>
            </w:pPr>
            <w:r w:rsidRPr="006558B9">
              <w:rPr>
                <w:rFonts w:eastAsia="Source Sans Pro Light" w:cs="Source Sans Pro Light"/>
              </w:rPr>
              <w:t>crise</w:t>
            </w:r>
          </w:p>
        </w:tc>
        <w:tc>
          <w:tcPr>
            <w:tcW w:w="2217" w:type="dxa"/>
            <w:vAlign w:val="center"/>
          </w:tcPr>
          <w:p w14:paraId="5BF62705" w14:textId="69018FCD" w:rsidR="00EF6B85" w:rsidRPr="006558B9" w:rsidRDefault="00DC15B9" w:rsidP="006558B9">
            <w:pPr>
              <w:jc w:val="left"/>
              <w:rPr>
                <w:rFonts w:eastAsia="Source Sans Pro Light" w:cs="Source Sans Pro Light"/>
              </w:rPr>
            </w:pPr>
            <w:r>
              <w:rPr>
                <w:rFonts w:eastAsia="Source Sans Pro Light" w:cs="Source Sans Pro Light"/>
              </w:rPr>
              <w:t>COVID</w:t>
            </w:r>
          </w:p>
        </w:tc>
        <w:tc>
          <w:tcPr>
            <w:tcW w:w="4235" w:type="dxa"/>
            <w:noWrap/>
            <w:vAlign w:val="center"/>
          </w:tcPr>
          <w:p w14:paraId="3050BB54" w14:textId="09E6055C" w:rsidR="00EF6B85" w:rsidRPr="006B12A6" w:rsidRDefault="0AB3086E" w:rsidP="006558B9">
            <w:pPr>
              <w:jc w:val="left"/>
              <w:rPr>
                <w:rFonts w:eastAsia="Source Sans Pro Light" w:cs="Source Sans Pro Light"/>
              </w:rPr>
            </w:pPr>
            <w:r w:rsidRPr="006558B9">
              <w:rPr>
                <w:rFonts w:eastAsia="Source Sans Pro Light" w:cs="Source Sans Pro Light"/>
              </w:rPr>
              <w:t>CRISES</w:t>
            </w:r>
            <w:r w:rsidR="002B29F5" w:rsidRPr="006558B9">
              <w:rPr>
                <w:rFonts w:eastAsia="Source Sans Pro Light" w:cs="Source Sans Pro Light"/>
              </w:rPr>
              <w:t>*</w:t>
            </w:r>
          </w:p>
        </w:tc>
      </w:tr>
    </w:tbl>
    <w:p w14:paraId="02F629CF" w14:textId="77777777" w:rsidR="00F252AA" w:rsidRPr="004610EB" w:rsidRDefault="00F252AA" w:rsidP="00371975"/>
    <w:p w14:paraId="07EBFC12" w14:textId="50AF0283" w:rsidR="001F06BE" w:rsidRDefault="002B29F5" w:rsidP="00792FAE">
      <w:r>
        <w:t>*</w:t>
      </w:r>
      <w:r w:rsidR="001C328D">
        <w:t>P</w:t>
      </w:r>
      <w:r w:rsidR="001F06BE">
        <w:t xml:space="preserve">our les aides </w:t>
      </w:r>
      <w:r w:rsidR="00DC15B9">
        <w:t>COVID</w:t>
      </w:r>
      <w:r w:rsidR="00FD786F">
        <w:t xml:space="preserve"> et CRISES</w:t>
      </w:r>
      <w:r w:rsidR="001F06BE">
        <w:t xml:space="preserve">, </w:t>
      </w:r>
      <w:r w:rsidR="001C328D">
        <w:t>comme indiqué précédemment, la répartition e</w:t>
      </w:r>
      <w:r w:rsidR="6ED68F0B">
        <w:t>n</w:t>
      </w:r>
      <w:r w:rsidR="001C328D">
        <w:t xml:space="preserve">tre bénéficiaires se fait au </w:t>
      </w:r>
      <w:r w:rsidR="001F06BE">
        <w:t xml:space="preserve">même prorata que </w:t>
      </w:r>
      <w:r w:rsidR="000F6957">
        <w:t xml:space="preserve">l’aide hors </w:t>
      </w:r>
      <w:r w:rsidR="00DC15B9">
        <w:t>COVID</w:t>
      </w:r>
      <w:r w:rsidR="000F6957">
        <w:t>.</w:t>
      </w:r>
      <w:r w:rsidR="00612880">
        <w:t xml:space="preserve"> Pour ce</w:t>
      </w:r>
      <w:r w:rsidR="000B60B3">
        <w:t>s</w:t>
      </w:r>
      <w:r w:rsidR="00612880">
        <w:t xml:space="preserve"> thématique</w:t>
      </w:r>
      <w:r w:rsidR="000B60B3">
        <w:t>s</w:t>
      </w:r>
      <w:r w:rsidR="00612880">
        <w:t xml:space="preserve"> particulière</w:t>
      </w:r>
      <w:r w:rsidR="000B60B3">
        <w:t>s</w:t>
      </w:r>
      <w:r w:rsidR="00612880">
        <w:t xml:space="preserve">, </w:t>
      </w:r>
      <w:r w:rsidR="00EF7814">
        <w:t xml:space="preserve">le bénéficiaire n’est donc pas indiqué </w:t>
      </w:r>
      <w:r w:rsidR="00275D16">
        <w:t>directement</w:t>
      </w:r>
      <w:r w:rsidR="00EF7814">
        <w:t>, et le calcul de répartition se</w:t>
      </w:r>
      <w:r w:rsidR="00275D16">
        <w:t xml:space="preserve"> fait dans</w:t>
      </w:r>
      <w:r w:rsidR="00EF7814">
        <w:t xml:space="preserve"> l’onglet</w:t>
      </w:r>
      <w:r w:rsidR="00275D16">
        <w:t xml:space="preserve"> </w:t>
      </w:r>
      <w:r w:rsidR="00EF7814">
        <w:t>« </w:t>
      </w:r>
      <w:r w:rsidR="00275D16">
        <w:t>Agreg</w:t>
      </w:r>
      <w:r w:rsidR="00EF7814">
        <w:t> ».</w:t>
      </w:r>
    </w:p>
    <w:p w14:paraId="41EA7F84" w14:textId="594390BF" w:rsidR="0036202A" w:rsidRDefault="0036202A" w:rsidP="00792FAE">
      <w:r>
        <w:t>Pour le bénéficiaire CONSO, nous n’avons pas pu identifier de mot clé pertinent.</w:t>
      </w:r>
    </w:p>
    <w:p w14:paraId="06D5D3D3" w14:textId="226948CF" w:rsidR="00792FAE" w:rsidRDefault="00792FAE" w:rsidP="00792FAE">
      <w:r>
        <w:t>Deux aides font exception à ce mode opératoire pour la ventilation </w:t>
      </w:r>
      <w:r w:rsidR="00ED1660">
        <w:t xml:space="preserve">entre bénéficiaires </w:t>
      </w:r>
      <w:r>
        <w:t>:</w:t>
      </w:r>
      <w:r w:rsidRPr="004610EB">
        <w:t xml:space="preserve"> H2020 et FEAD.</w:t>
      </w:r>
      <w:r>
        <w:t xml:space="preserve"> </w:t>
      </w:r>
    </w:p>
    <w:p w14:paraId="23A31082" w14:textId="77777777" w:rsidR="00792FAE" w:rsidRPr="00371975" w:rsidRDefault="00792FAE" w:rsidP="00792FAE"/>
    <w:p w14:paraId="43AB0275" w14:textId="172D1869" w:rsidR="00702469" w:rsidRDefault="00702469" w:rsidP="006558B9">
      <w:pPr>
        <w:pStyle w:val="Titre3"/>
      </w:pPr>
      <w:bookmarkStart w:id="96" w:name="_Toc1622438472"/>
      <w:bookmarkStart w:id="97" w:name="_Toc177052091"/>
      <w:r>
        <w:t>H</w:t>
      </w:r>
      <w:r w:rsidR="0009036D">
        <w:t xml:space="preserve">orizon </w:t>
      </w:r>
      <w:r>
        <w:t>2020</w:t>
      </w:r>
      <w:r w:rsidR="0009036D">
        <w:t xml:space="preserve"> / Horizon Europe</w:t>
      </w:r>
      <w:bookmarkEnd w:id="96"/>
      <w:r w:rsidR="0053091B">
        <w:t> : TRANSVERSE</w:t>
      </w:r>
      <w:bookmarkEnd w:id="97"/>
    </w:p>
    <w:p w14:paraId="5C862E50" w14:textId="11859C7C" w:rsidR="00E80F9E" w:rsidRDefault="0063760D" w:rsidP="00E80F9E">
      <w:r>
        <w:lastRenderedPageBreak/>
        <w:t xml:space="preserve">Pour </w:t>
      </w:r>
      <w:r w:rsidRPr="0063760D">
        <w:t>le programme</w:t>
      </w:r>
      <w:r w:rsidR="00E80F9E" w:rsidRPr="0063760D">
        <w:t xml:space="preserve"> </w:t>
      </w:r>
      <w:r w:rsidR="00E80F9E" w:rsidRPr="006558B9">
        <w:t>H2020</w:t>
      </w:r>
      <w:r w:rsidRPr="006558B9">
        <w:t>/Hor</w:t>
      </w:r>
      <w:r w:rsidR="0036202A">
        <w:t>iz</w:t>
      </w:r>
      <w:r w:rsidRPr="006558B9">
        <w:t>on Europe,</w:t>
      </w:r>
      <w:r w:rsidR="00E80F9E" w:rsidRPr="0063760D">
        <w:t xml:space="preserve"> l’ensemble</w:t>
      </w:r>
      <w:r w:rsidR="00E80F9E">
        <w:t xml:space="preserve"> du montant</w:t>
      </w:r>
      <w:r>
        <w:t xml:space="preserve"> en lien avec l’alimentaire</w:t>
      </w:r>
      <w:r w:rsidR="00E80F9E">
        <w:t xml:space="preserve"> va à la recherche (TRANSVERSE). Pour </w:t>
      </w:r>
      <w:r w:rsidR="0036202A">
        <w:t>ne tenir compte que du montant</w:t>
      </w:r>
      <w:r w:rsidR="00E80F9E">
        <w:t xml:space="preserve"> </w:t>
      </w:r>
      <w:r w:rsidR="0036202A">
        <w:t xml:space="preserve">ayant pour </w:t>
      </w:r>
      <w:r w:rsidR="00E80F9E">
        <w:t>thème de l’alimentaire, nous prenons en compte tous les projets financés ayant pour thème « agricultural science ».</w:t>
      </w:r>
    </w:p>
    <w:p w14:paraId="785A526C" w14:textId="77777777" w:rsidR="0009036D" w:rsidRDefault="0009036D" w:rsidP="002F31AF"/>
    <w:p w14:paraId="54763741" w14:textId="70A93A53" w:rsidR="0009036D" w:rsidRDefault="00371975" w:rsidP="006558B9">
      <w:pPr>
        <w:pStyle w:val="Titre3"/>
      </w:pPr>
      <w:bookmarkStart w:id="98" w:name="_Toc722755233"/>
      <w:bookmarkStart w:id="99" w:name="_Toc177052092"/>
      <w:r>
        <w:t>FEAD</w:t>
      </w:r>
      <w:bookmarkEnd w:id="98"/>
      <w:r w:rsidR="0053091B">
        <w:t> : CONSO</w:t>
      </w:r>
      <w:bookmarkEnd w:id="99"/>
    </w:p>
    <w:p w14:paraId="72F081BC" w14:textId="6BC39616" w:rsidR="00732526" w:rsidRDefault="0036202A" w:rsidP="00B76FD5">
      <w:r>
        <w:t xml:space="preserve">Pour le </w:t>
      </w:r>
      <w:r w:rsidRPr="0036202A">
        <w:t>programme</w:t>
      </w:r>
      <w:r w:rsidR="00E80F9E" w:rsidRPr="0036202A">
        <w:t xml:space="preserve"> </w:t>
      </w:r>
      <w:r w:rsidR="00E80F9E" w:rsidRPr="006558B9">
        <w:t>FEAD</w:t>
      </w:r>
      <w:r w:rsidRPr="0036202A">
        <w:t xml:space="preserve">, </w:t>
      </w:r>
      <w:r w:rsidR="00E80F9E" w:rsidRPr="0036202A">
        <w:t>l’ensemble de l’aide va aux ménages (CONSO)</w:t>
      </w:r>
      <w:r w:rsidR="006078F1">
        <w:rPr>
          <w:rStyle w:val="Appelnotedebasdep"/>
        </w:rPr>
        <w:footnoteReference w:id="20"/>
      </w:r>
      <w:r w:rsidR="006078F1">
        <w:t>.</w:t>
      </w:r>
      <w:r w:rsidR="00647B56" w:rsidRPr="00647B56">
        <w:t xml:space="preserve"> </w:t>
      </w:r>
      <w:r w:rsidR="00647B56">
        <w:t>Nous nous basons sur des données de « </w:t>
      </w:r>
      <w:r w:rsidR="00647B56" w:rsidRPr="00680A40">
        <w:t xml:space="preserve">l'Europe s'engage en </w:t>
      </w:r>
      <w:r w:rsidR="00647B56">
        <w:t>France ».</w:t>
      </w:r>
    </w:p>
    <w:p w14:paraId="478D11F7" w14:textId="3CA3A87F" w:rsidR="00732526" w:rsidRPr="00F00411" w:rsidRDefault="53C769F8" w:rsidP="001B6CA9">
      <w:pPr>
        <w:pStyle w:val="Titre2"/>
      </w:pPr>
      <w:bookmarkStart w:id="100" w:name="_Toc1861336657"/>
      <w:bookmarkStart w:id="101" w:name="_Toc177052093"/>
      <w:r w:rsidRPr="006558B9">
        <w:t xml:space="preserve">Le cas </w:t>
      </w:r>
      <w:r w:rsidR="5AE46A25">
        <w:t>France Relance</w:t>
      </w:r>
      <w:bookmarkEnd w:id="100"/>
      <w:r w:rsidR="00504B76">
        <w:t xml:space="preserve"> : </w:t>
      </w:r>
      <w:r w:rsidRPr="006558B9">
        <w:t>cofinancement</w:t>
      </w:r>
      <w:bookmarkEnd w:id="101"/>
    </w:p>
    <w:p w14:paraId="1481830C" w14:textId="65B1BC43" w:rsidR="00732526" w:rsidRDefault="002F62B0" w:rsidP="00B76FD5">
      <w:pPr>
        <w:rPr>
          <w:rStyle w:val="ui-provider"/>
        </w:rPr>
      </w:pPr>
      <w:r w:rsidRPr="0040249C">
        <w:rPr>
          <w:rStyle w:val="ui-provider"/>
        </w:rPr>
        <w:t>Les montant du plan France Relance correspond au programme 362 du Budget de l’</w:t>
      </w:r>
      <w:r w:rsidR="00594801">
        <w:rPr>
          <w:rStyle w:val="ui-provider"/>
        </w:rPr>
        <w:t>État</w:t>
      </w:r>
      <w:r w:rsidRPr="0040249C">
        <w:rPr>
          <w:rStyle w:val="ui-provider"/>
        </w:rPr>
        <w:t>.</w:t>
      </w:r>
      <w:r w:rsidR="003E222D">
        <w:rPr>
          <w:rStyle w:val="ui-provider"/>
        </w:rPr>
        <w:t xml:space="preserve"> </w:t>
      </w:r>
      <w:r w:rsidR="00926065">
        <w:rPr>
          <w:rStyle w:val="ui-provider"/>
        </w:rPr>
        <w:t>Les montants de crédits reportés d</w:t>
      </w:r>
      <w:r w:rsidR="003E222D">
        <w:rPr>
          <w:rStyle w:val="ui-provider"/>
        </w:rPr>
        <w:t xml:space="preserve">ans ce programme </w:t>
      </w:r>
      <w:r w:rsidR="008262E3">
        <w:rPr>
          <w:rStyle w:val="ui-provider"/>
        </w:rPr>
        <w:t xml:space="preserve">recensent les montants nationaux mais aussi </w:t>
      </w:r>
      <w:r w:rsidR="00926065">
        <w:rPr>
          <w:rStyle w:val="ui-provider"/>
        </w:rPr>
        <w:t>européen</w:t>
      </w:r>
      <w:r w:rsidR="008262E3">
        <w:rPr>
          <w:rStyle w:val="ui-provider"/>
        </w:rPr>
        <w:t>s, pour l’année 2021 (l’année 2024 n’est pas encore disponible)</w:t>
      </w:r>
      <w:r w:rsidR="00926065">
        <w:rPr>
          <w:rStyle w:val="ui-provider"/>
        </w:rPr>
        <w:t>.</w:t>
      </w:r>
    </w:p>
    <w:p w14:paraId="200EBEFE" w14:textId="2E8C2FC1" w:rsidR="00F54AC0" w:rsidRDefault="00926065" w:rsidP="00B76FD5">
      <w:r>
        <w:rPr>
          <w:rStyle w:val="ui-provider"/>
        </w:rPr>
        <w:t xml:space="preserve">On </w:t>
      </w:r>
      <w:r w:rsidR="00832413">
        <w:rPr>
          <w:rStyle w:val="ui-provider"/>
        </w:rPr>
        <w:t>se base donc sur les mo</w:t>
      </w:r>
      <w:r>
        <w:rPr>
          <w:rStyle w:val="ui-provider"/>
        </w:rPr>
        <w:t>ntants du budget de l’</w:t>
      </w:r>
      <w:r w:rsidR="00594801">
        <w:rPr>
          <w:rStyle w:val="ui-provider"/>
        </w:rPr>
        <w:t>État</w:t>
      </w:r>
      <w:r w:rsidR="0061730E">
        <w:rPr>
          <w:rStyle w:val="ui-provider"/>
        </w:rPr>
        <w:t xml:space="preserve"> et </w:t>
      </w:r>
      <w:r w:rsidR="00832413">
        <w:rPr>
          <w:rStyle w:val="ui-provider"/>
        </w:rPr>
        <w:t xml:space="preserve">on </w:t>
      </w:r>
      <w:r w:rsidR="0061730E">
        <w:rPr>
          <w:rStyle w:val="ui-provider"/>
        </w:rPr>
        <w:t xml:space="preserve">applique un ratio à chaque dépense </w:t>
      </w:r>
      <w:r w:rsidR="00BE0220">
        <w:rPr>
          <w:rStyle w:val="ui-provider"/>
        </w:rPr>
        <w:t>pour</w:t>
      </w:r>
      <w:r w:rsidR="00832413">
        <w:rPr>
          <w:rStyle w:val="ui-provider"/>
        </w:rPr>
        <w:t xml:space="preserve"> ventiler</w:t>
      </w:r>
      <w:r w:rsidR="002F62B0">
        <w:rPr>
          <w:rStyle w:val="ui-provider"/>
        </w:rPr>
        <w:t xml:space="preserve"> les dépenses sur les </w:t>
      </w:r>
      <w:r w:rsidR="002F62B0" w:rsidRPr="002F62B0">
        <w:rPr>
          <w:rStyle w:val="ui-provider"/>
        </w:rPr>
        <w:t>volets</w:t>
      </w:r>
      <w:r w:rsidR="00BE0220" w:rsidRPr="002F62B0">
        <w:rPr>
          <w:rStyle w:val="ui-provider"/>
        </w:rPr>
        <w:t xml:space="preserve"> </w:t>
      </w:r>
      <w:r w:rsidR="00BE0220" w:rsidRPr="006558B9">
        <w:rPr>
          <w:rStyle w:val="ui-provider"/>
        </w:rPr>
        <w:t>français</w:t>
      </w:r>
      <w:r w:rsidR="00BE0220" w:rsidRPr="002F62B0">
        <w:rPr>
          <w:rStyle w:val="ui-provider"/>
        </w:rPr>
        <w:t xml:space="preserve"> </w:t>
      </w:r>
      <w:r w:rsidR="00D84CC8" w:rsidRPr="002F62B0">
        <w:rPr>
          <w:rStyle w:val="ui-provider"/>
        </w:rPr>
        <w:t>et</w:t>
      </w:r>
      <w:r w:rsidR="00BE0220" w:rsidRPr="002F62B0">
        <w:rPr>
          <w:rStyle w:val="ui-provider"/>
        </w:rPr>
        <w:t xml:space="preserve"> </w:t>
      </w:r>
      <w:r w:rsidR="00BE0220" w:rsidRPr="006558B9">
        <w:rPr>
          <w:rStyle w:val="ui-provider"/>
        </w:rPr>
        <w:t>européen</w:t>
      </w:r>
      <w:r w:rsidR="002F62B0">
        <w:rPr>
          <w:rStyle w:val="ui-provider"/>
        </w:rPr>
        <w:t xml:space="preserve">. </w:t>
      </w:r>
      <w:r w:rsidR="00E52850">
        <w:rPr>
          <w:rStyle w:val="ui-provider"/>
        </w:rPr>
        <w:t xml:space="preserve">Le ratio utilisé est </w:t>
      </w:r>
      <w:r w:rsidR="0061730E">
        <w:rPr>
          <w:rStyle w:val="ui-provider"/>
        </w:rPr>
        <w:t xml:space="preserve">le </w:t>
      </w:r>
      <w:r w:rsidR="00E52850">
        <w:rPr>
          <w:rStyle w:val="ui-provider"/>
        </w:rPr>
        <w:t>pourcentage</w:t>
      </w:r>
      <w:r w:rsidR="0061730E">
        <w:rPr>
          <w:rStyle w:val="ui-provider"/>
        </w:rPr>
        <w:t xml:space="preserve"> d'argent européen dans le programme </w:t>
      </w:r>
      <w:r w:rsidR="00D84CC8">
        <w:rPr>
          <w:rStyle w:val="ui-provider"/>
        </w:rPr>
        <w:t>« </w:t>
      </w:r>
      <w:r w:rsidR="0061730E">
        <w:rPr>
          <w:rStyle w:val="ui-provider"/>
        </w:rPr>
        <w:t>Ecologie et biodiversité</w:t>
      </w:r>
      <w:r w:rsidR="00D84CC8">
        <w:rPr>
          <w:rStyle w:val="ui-provider"/>
        </w:rPr>
        <w:t> »</w:t>
      </w:r>
      <w:r w:rsidR="00BE0220">
        <w:rPr>
          <w:rStyle w:val="ui-provider"/>
        </w:rPr>
        <w:t>,</w:t>
      </w:r>
      <w:r w:rsidR="0061730E">
        <w:rPr>
          <w:rStyle w:val="ui-provider"/>
        </w:rPr>
        <w:t xml:space="preserve"> qui comprend l'action </w:t>
      </w:r>
      <w:r w:rsidR="00D84CC8">
        <w:rPr>
          <w:rStyle w:val="ui-provider"/>
        </w:rPr>
        <w:t>« </w:t>
      </w:r>
      <w:r w:rsidR="0061730E">
        <w:rPr>
          <w:rStyle w:val="ui-provider"/>
        </w:rPr>
        <w:t>Agroécologie</w:t>
      </w:r>
      <w:r w:rsidR="00D84CC8">
        <w:rPr>
          <w:rStyle w:val="ui-provider"/>
        </w:rPr>
        <w:t> »</w:t>
      </w:r>
      <w:r w:rsidR="0061730E">
        <w:rPr>
          <w:rStyle w:val="ui-provider"/>
        </w:rPr>
        <w:t>,</w:t>
      </w:r>
      <w:r w:rsidR="00727C49">
        <w:rPr>
          <w:rStyle w:val="ui-provider"/>
        </w:rPr>
        <w:t xml:space="preserve"> pour l’ensemble du</w:t>
      </w:r>
      <w:r w:rsidR="0061730E">
        <w:rPr>
          <w:rStyle w:val="ui-provider"/>
        </w:rPr>
        <w:t xml:space="preserve"> plan de relance</w:t>
      </w:r>
      <w:r w:rsidR="00727C49">
        <w:rPr>
          <w:rStyle w:val="ui-provider"/>
        </w:rPr>
        <w:t xml:space="preserve"> (et non </w:t>
      </w:r>
      <w:r w:rsidR="0061730E">
        <w:rPr>
          <w:rStyle w:val="ui-provider"/>
        </w:rPr>
        <w:t>année par année</w:t>
      </w:r>
      <w:r w:rsidR="002F62B0">
        <w:rPr>
          <w:bCs/>
        </w:rPr>
        <w:t>)</w:t>
      </w:r>
      <w:r w:rsidR="002F62B0" w:rsidRPr="002F62B0">
        <w:rPr>
          <w:rStyle w:val="Appelnotedebasdep"/>
          <w:bCs/>
        </w:rPr>
        <w:footnoteReference w:id="21"/>
      </w:r>
      <w:r w:rsidR="002F62B0">
        <w:rPr>
          <w:rStyle w:val="ui-provider"/>
        </w:rPr>
        <w:t>.</w:t>
      </w:r>
    </w:p>
    <w:p w14:paraId="262A4B9E" w14:textId="77777777" w:rsidR="003B145F" w:rsidRPr="006355B4" w:rsidRDefault="003B145F" w:rsidP="001B6CA9">
      <w:pPr>
        <w:pStyle w:val="Titre2"/>
      </w:pPr>
      <w:bookmarkStart w:id="102" w:name="_Toc177052094"/>
      <w:bookmarkStart w:id="103" w:name="_Toc150811549"/>
      <w:r w:rsidRPr="006355B4">
        <w:t>Données manquantes et limites</w:t>
      </w:r>
      <w:bookmarkEnd w:id="102"/>
    </w:p>
    <w:bookmarkEnd w:id="103"/>
    <w:p w14:paraId="228362EC" w14:textId="56254023" w:rsidR="00124B3F" w:rsidRPr="00124B3F" w:rsidRDefault="003B145F" w:rsidP="006558B9">
      <w:r>
        <w:t xml:space="preserve">Cette enveloppe contient un certain nombre </w:t>
      </w:r>
      <w:r w:rsidR="00124B3F">
        <w:t>d’approximations et fortes hypothèses</w:t>
      </w:r>
      <w:r>
        <w:t>. Il</w:t>
      </w:r>
      <w:r w:rsidR="00124B3F">
        <w:t xml:space="preserve"> s’agit de petits montants</w:t>
      </w:r>
      <w:r w:rsidR="00792E3F">
        <w:t xml:space="preserve">, ce n’est donc que peu préjudiciable pour la qualité de la base de données. </w:t>
      </w:r>
      <w:r w:rsidR="00F00411">
        <w:t>Citons n</w:t>
      </w:r>
      <w:r w:rsidR="00792E3F">
        <w:t>otamment :</w:t>
      </w:r>
    </w:p>
    <w:p w14:paraId="0A39B9E1" w14:textId="135A7617" w:rsidR="0088597B" w:rsidRDefault="00F00411">
      <w:pPr>
        <w:pStyle w:val="Paragraphedeliste"/>
        <w:numPr>
          <w:ilvl w:val="0"/>
          <w:numId w:val="13"/>
        </w:numPr>
      </w:pPr>
      <w:r>
        <w:t xml:space="preserve">Pour la ventilation de la plupart des aides, </w:t>
      </w:r>
      <w:r w:rsidR="00D55716">
        <w:t xml:space="preserve">nous passons par </w:t>
      </w:r>
      <w:r>
        <w:t>la</w:t>
      </w:r>
      <w:r w:rsidR="0090771E">
        <w:t xml:space="preserve"> recherche de mots clés</w:t>
      </w:r>
      <w:r w:rsidR="00D55716">
        <w:t>,</w:t>
      </w:r>
      <w:r w:rsidR="0090771E">
        <w:t xml:space="preserve"> mais les éventuels double comptes</w:t>
      </w:r>
      <w:r w:rsidR="00D55716">
        <w:t xml:space="preserve"> ne sont pas vérifiés ;</w:t>
      </w:r>
    </w:p>
    <w:p w14:paraId="0FDDB173" w14:textId="15D2D028" w:rsidR="00BA6B72" w:rsidRDefault="00A171C1">
      <w:pPr>
        <w:pStyle w:val="Paragraphedeliste"/>
        <w:numPr>
          <w:ilvl w:val="0"/>
          <w:numId w:val="13"/>
        </w:numPr>
      </w:pPr>
      <w:r>
        <w:t xml:space="preserve">Le montant de l’aide est ventilé de façon uniforme </w:t>
      </w:r>
      <w:r w:rsidR="00C75AEE">
        <w:t xml:space="preserve">sur </w:t>
      </w:r>
      <w:r>
        <w:t xml:space="preserve">toute </w:t>
      </w:r>
      <w:r w:rsidR="00C75AEE">
        <w:t>la durée du projet</w:t>
      </w:r>
      <w:r w:rsidR="00A21E84">
        <w:t>. Autrement dit on fait l’hypothèse que chaque année, les bénéficiaires reçoivent le même montant ;</w:t>
      </w:r>
    </w:p>
    <w:p w14:paraId="1B2328DD" w14:textId="4E872A17" w:rsidR="0088597B" w:rsidRDefault="5619C108">
      <w:pPr>
        <w:pStyle w:val="Paragraphedeliste"/>
        <w:numPr>
          <w:ilvl w:val="0"/>
          <w:numId w:val="13"/>
        </w:numPr>
      </w:pPr>
      <w:r>
        <w:t xml:space="preserve">Pour les années 2023 et 2024, si la donnée manque on fait </w:t>
      </w:r>
      <w:r w:rsidR="1A704C93">
        <w:t xml:space="preserve">l’hypothèse que le montant </w:t>
      </w:r>
      <w:r>
        <w:t xml:space="preserve">est </w:t>
      </w:r>
      <w:r w:rsidR="1A704C93">
        <w:t>le même que celui de la dernière année renseignée</w:t>
      </w:r>
      <w:r>
        <w:t>. Cette méthode varie cependant en fonction des aides. Par exemple</w:t>
      </w:r>
      <w:r w:rsidR="362F638C">
        <w:t xml:space="preserve">, </w:t>
      </w:r>
      <w:r w:rsidR="00396978">
        <w:t>pour REACT-UE</w:t>
      </w:r>
      <w:r w:rsidR="00E54643">
        <w:t>, on fait l’hypothèse que les montants seront nuls, ce qui revient à faire l’hypothèse qu’il n’y aura pas de crise. ;</w:t>
      </w:r>
    </w:p>
    <w:p w14:paraId="09E6B1D5" w14:textId="16B37C5F" w:rsidR="006F0E13" w:rsidRDefault="439B4E76">
      <w:pPr>
        <w:pStyle w:val="Paragraphedeliste"/>
        <w:numPr>
          <w:ilvl w:val="0"/>
          <w:numId w:val="13"/>
        </w:numPr>
      </w:pPr>
      <w:r>
        <w:t xml:space="preserve">Pour </w:t>
      </w:r>
      <w:r w:rsidR="00D23B91">
        <w:t>certains d</w:t>
      </w:r>
      <w:r>
        <w:t>es nouveaux fonds</w:t>
      </w:r>
      <w:r w:rsidR="362F638C">
        <w:t xml:space="preserve">, </w:t>
      </w:r>
      <w:r>
        <w:t xml:space="preserve">nous n’avons pas d’information précise </w:t>
      </w:r>
      <w:r w:rsidR="506DE4B8">
        <w:t>par projet</w:t>
      </w:r>
      <w:r w:rsidR="362F638C">
        <w:t xml:space="preserve">, et donc il est impossible de le ventiler par bénéficiaire. </w:t>
      </w:r>
      <w:r w:rsidR="506DE4B8">
        <w:t>Nous les excluons</w:t>
      </w:r>
      <w:r w:rsidR="362F638C">
        <w:t xml:space="preserve"> de la collecte</w:t>
      </w:r>
      <w:r w:rsidR="73E9750A">
        <w:t> ;</w:t>
      </w:r>
    </w:p>
    <w:p w14:paraId="7BAA24EF" w14:textId="783164EB" w:rsidR="00E8199B" w:rsidRDefault="00E8199B">
      <w:pPr>
        <w:pStyle w:val="Paragraphedeliste"/>
        <w:numPr>
          <w:ilvl w:val="0"/>
          <w:numId w:val="14"/>
        </w:numPr>
      </w:pPr>
      <w:r>
        <w:t xml:space="preserve">Certaines régions ne sont pas comprises dans ces comptes globaux, il </w:t>
      </w:r>
      <w:r w:rsidR="006355B4">
        <w:t>conviendrait</w:t>
      </w:r>
      <w:r>
        <w:t xml:space="preserve"> donc </w:t>
      </w:r>
      <w:r w:rsidR="006355B4">
        <w:t>d’</w:t>
      </w:r>
      <w:r>
        <w:t>ajouter les montants perçus par ces régions.</w:t>
      </w:r>
    </w:p>
    <w:p w14:paraId="6674E43C" w14:textId="77777777" w:rsidR="00E8199B" w:rsidRDefault="00E8199B" w:rsidP="00E8199B">
      <w:pPr>
        <w:pStyle w:val="Paragraphedeliste"/>
        <w:ind w:left="1440"/>
      </w:pPr>
    </w:p>
    <w:p w14:paraId="3637CBE5" w14:textId="7158B91E" w:rsidR="42B95E74" w:rsidRDefault="42B95E74" w:rsidP="42B95E74"/>
    <w:p w14:paraId="4C41C1DE" w14:textId="3230FD6F" w:rsidR="008B116C" w:rsidRDefault="53ACF457" w:rsidP="006558B9">
      <w:pPr>
        <w:pStyle w:val="Titre1"/>
      </w:pPr>
      <w:bookmarkStart w:id="104" w:name="_Toc1507777400"/>
      <w:bookmarkStart w:id="105" w:name="_Ref177050067"/>
      <w:bookmarkStart w:id="106" w:name="_Toc177052095"/>
      <w:r>
        <w:lastRenderedPageBreak/>
        <w:t>Dépenses budgétaires</w:t>
      </w:r>
      <w:bookmarkEnd w:id="104"/>
      <w:r w:rsidR="6BA12115">
        <w:t xml:space="preserve"> nationales</w:t>
      </w:r>
      <w:bookmarkEnd w:id="105"/>
      <w:bookmarkEnd w:id="106"/>
    </w:p>
    <w:p w14:paraId="53D89AD0" w14:textId="2B5A00A6" w:rsidR="1D41275F" w:rsidRDefault="22834502" w:rsidP="001B6CA9">
      <w:pPr>
        <w:pStyle w:val="Titre2"/>
      </w:pPr>
      <w:bookmarkStart w:id="107" w:name="_Toc177052096"/>
      <w:r>
        <w:t>Présentation générale et sources principales des données</w:t>
      </w:r>
      <w:bookmarkEnd w:id="107"/>
    </w:p>
    <w:p w14:paraId="7C1A5B76" w14:textId="43B9CFDA" w:rsidR="2BE2CAD8" w:rsidRDefault="794CAA5B">
      <w:r>
        <w:t>Les dépenses budgétaires nationales couvrent à la fois les dépenses budgétaires de l’</w:t>
      </w:r>
      <w:r w:rsidR="00594801">
        <w:t>État</w:t>
      </w:r>
      <w:r>
        <w:t xml:space="preserve"> et celles de la Sécurité sociale.</w:t>
      </w:r>
    </w:p>
    <w:p w14:paraId="290AE968" w14:textId="0AB2646D" w:rsidR="6A89F685" w:rsidRDefault="6A89F685" w:rsidP="006558B9">
      <w:pPr>
        <w:pStyle w:val="Titre3"/>
      </w:pPr>
      <w:bookmarkStart w:id="108" w:name="_Ref177033943"/>
      <w:bookmarkStart w:id="109" w:name="_Toc177052097"/>
      <w:r>
        <w:t>Dépenses budgétaires de l’</w:t>
      </w:r>
      <w:r w:rsidR="00594801">
        <w:t>État</w:t>
      </w:r>
      <w:bookmarkEnd w:id="108"/>
      <w:bookmarkEnd w:id="109"/>
    </w:p>
    <w:p w14:paraId="23013044" w14:textId="120C1E77" w:rsidR="794CAA5B" w:rsidRDefault="794CAA5B" w:rsidP="6AAEB316">
      <w:pPr>
        <w:rPr>
          <w:rFonts w:eastAsia="Source Sans Pro Light" w:cs="Source Sans Pro Light"/>
        </w:rPr>
      </w:pPr>
      <w:r w:rsidRPr="6AAEB316">
        <w:rPr>
          <w:b/>
          <w:bCs/>
        </w:rPr>
        <w:t>Les dépenses budgétaires de l’</w:t>
      </w:r>
      <w:r w:rsidR="00594801">
        <w:rPr>
          <w:b/>
          <w:bCs/>
        </w:rPr>
        <w:t>État</w:t>
      </w:r>
      <w:r w:rsidRPr="6AAEB316">
        <w:rPr>
          <w:b/>
          <w:bCs/>
        </w:rPr>
        <w:t xml:space="preserve"> s’inscrivent dans un cycle renouvelé chaque année</w:t>
      </w:r>
      <w:r w:rsidR="63099380" w:rsidRPr="6AAEB316">
        <w:rPr>
          <w:b/>
          <w:bCs/>
        </w:rPr>
        <w:t xml:space="preserve"> :</w:t>
      </w:r>
      <w:r>
        <w:t xml:space="preserve"> </w:t>
      </w:r>
    </w:p>
    <w:p w14:paraId="114A45FD" w14:textId="7998E6E0" w:rsidR="794CAA5B" w:rsidRDefault="5744CAFC">
      <w:pPr>
        <w:pStyle w:val="Paragraphedeliste"/>
        <w:numPr>
          <w:ilvl w:val="0"/>
          <w:numId w:val="4"/>
        </w:numPr>
        <w:rPr>
          <w:rFonts w:eastAsia="Source Sans Pro Light" w:cs="Source Sans Pro Light"/>
        </w:rPr>
      </w:pPr>
      <w:r w:rsidRPr="6AAEB316">
        <w:rPr>
          <w:rFonts w:eastAsia="Source Sans Pro Light" w:cs="Source Sans Pro Light"/>
        </w:rPr>
        <w:t>Dès le printemps N-1 : l</w:t>
      </w:r>
      <w:r w:rsidR="01206E9B" w:rsidRPr="6AAEB316">
        <w:rPr>
          <w:rFonts w:eastAsia="Source Sans Pro Light" w:cs="Source Sans Pro Light"/>
        </w:rPr>
        <w:t xml:space="preserve">e budget d’une année N commence à être construit par l’administration et le gouvernement. </w:t>
      </w:r>
      <w:r w:rsidR="2B308216" w:rsidRPr="6AAEB316">
        <w:rPr>
          <w:rFonts w:eastAsia="Source Sans Pro Light" w:cs="Source Sans Pro Light"/>
        </w:rPr>
        <w:t>C</w:t>
      </w:r>
      <w:r w:rsidR="01206E9B" w:rsidRPr="6AAEB316">
        <w:rPr>
          <w:rFonts w:eastAsia="Source Sans Pro Light" w:cs="Source Sans Pro Light"/>
        </w:rPr>
        <w:t>ette première version constitue le Projet de loi de finances</w:t>
      </w:r>
      <w:r w:rsidR="3384D992" w:rsidRPr="6AAEB316">
        <w:rPr>
          <w:rFonts w:eastAsia="Source Sans Pro Light" w:cs="Source Sans Pro Light"/>
        </w:rPr>
        <w:t xml:space="preserve"> (PLF)</w:t>
      </w:r>
      <w:r w:rsidR="01206E9B" w:rsidRPr="6AAEB316">
        <w:rPr>
          <w:rFonts w:eastAsia="Source Sans Pro Light" w:cs="Source Sans Pro Light"/>
        </w:rPr>
        <w:t>,</w:t>
      </w:r>
      <w:r w:rsidR="20BB7DE6" w:rsidRPr="6AAEB316">
        <w:rPr>
          <w:rFonts w:eastAsia="Source Sans Pro Light" w:cs="Source Sans Pro Light"/>
        </w:rPr>
        <w:t xml:space="preserve"> auquel sont annexés des bleus budgétaires ou projets annuels de performance (PAP). </w:t>
      </w:r>
    </w:p>
    <w:p w14:paraId="1C89C8BD" w14:textId="4FA31CA4" w:rsidR="794CAA5B" w:rsidRDefault="25B4C77C">
      <w:pPr>
        <w:pStyle w:val="Paragraphedeliste"/>
        <w:numPr>
          <w:ilvl w:val="0"/>
          <w:numId w:val="4"/>
        </w:numPr>
        <w:rPr>
          <w:rFonts w:eastAsia="Source Sans Pro Light" w:cs="Source Sans Pro Light"/>
        </w:rPr>
      </w:pPr>
      <w:r w:rsidRPr="6AAEB316">
        <w:rPr>
          <w:rFonts w:eastAsia="Source Sans Pro Light" w:cs="Source Sans Pro Light"/>
        </w:rPr>
        <w:t>Septembre à décembre N-1 :</w:t>
      </w:r>
      <w:r w:rsidR="20BB7DE6" w:rsidRPr="6AAEB316">
        <w:rPr>
          <w:rFonts w:eastAsia="Source Sans Pro Light" w:cs="Source Sans Pro Light"/>
        </w:rPr>
        <w:t xml:space="preserve"> </w:t>
      </w:r>
      <w:r w:rsidR="5FE49539" w:rsidRPr="6AAEB316">
        <w:rPr>
          <w:rFonts w:eastAsia="Source Sans Pro Light" w:cs="Source Sans Pro Light"/>
        </w:rPr>
        <w:t xml:space="preserve">ce projet de loi </w:t>
      </w:r>
      <w:r w:rsidR="20BB7DE6" w:rsidRPr="6AAEB316">
        <w:rPr>
          <w:rFonts w:eastAsia="Source Sans Pro Light" w:cs="Source Sans Pro Light"/>
        </w:rPr>
        <w:t>de finances est</w:t>
      </w:r>
      <w:r w:rsidR="01206E9B" w:rsidRPr="6AAEB316">
        <w:rPr>
          <w:rFonts w:eastAsia="Source Sans Pro Light" w:cs="Source Sans Pro Light"/>
        </w:rPr>
        <w:t xml:space="preserve"> présenté aux parlementaires courant septembre</w:t>
      </w:r>
      <w:r w:rsidR="7AE83CF6" w:rsidRPr="6AAEB316">
        <w:rPr>
          <w:rFonts w:eastAsia="Source Sans Pro Light" w:cs="Source Sans Pro Light"/>
        </w:rPr>
        <w:t xml:space="preserve"> N-1</w:t>
      </w:r>
      <w:r w:rsidR="3868D959" w:rsidRPr="6AAEB316">
        <w:rPr>
          <w:rFonts w:eastAsia="Source Sans Pro Light" w:cs="Source Sans Pro Light"/>
        </w:rPr>
        <w:t>, qui</w:t>
      </w:r>
      <w:r w:rsidR="01206E9B" w:rsidRPr="6AAEB316">
        <w:rPr>
          <w:rFonts w:eastAsia="Source Sans Pro Light" w:cs="Source Sans Pro Light"/>
        </w:rPr>
        <w:t xml:space="preserve"> l’amendent et le votent avant le 31 décembre</w:t>
      </w:r>
      <w:r w:rsidR="067486E3" w:rsidRPr="6AAEB316">
        <w:rPr>
          <w:rFonts w:eastAsia="Source Sans Pro Light" w:cs="Source Sans Pro Light"/>
        </w:rPr>
        <w:t xml:space="preserve"> N-1</w:t>
      </w:r>
      <w:r w:rsidR="5B36F245" w:rsidRPr="6AAEB316">
        <w:rPr>
          <w:rFonts w:eastAsia="Source Sans Pro Light" w:cs="Source Sans Pro Light"/>
        </w:rPr>
        <w:t>. E</w:t>
      </w:r>
      <w:r w:rsidR="01206E9B" w:rsidRPr="6AAEB316">
        <w:rPr>
          <w:rFonts w:eastAsia="Source Sans Pro Light" w:cs="Source Sans Pro Light"/>
        </w:rPr>
        <w:t>n résulte la Loi de finance initiale</w:t>
      </w:r>
      <w:r w:rsidR="7CCF30A0" w:rsidRPr="6AAEB316">
        <w:rPr>
          <w:rFonts w:eastAsia="Source Sans Pro Light" w:cs="Source Sans Pro Light"/>
        </w:rPr>
        <w:t xml:space="preserve"> (LFI)</w:t>
      </w:r>
      <w:r w:rsidR="01206E9B" w:rsidRPr="6AAEB316">
        <w:rPr>
          <w:rFonts w:eastAsia="Source Sans Pro Light" w:cs="Source Sans Pro Light"/>
        </w:rPr>
        <w:t xml:space="preserve">. </w:t>
      </w:r>
    </w:p>
    <w:p w14:paraId="77056F7C" w14:textId="6BDDCBCC" w:rsidR="794CAA5B" w:rsidRDefault="207FB322">
      <w:pPr>
        <w:pStyle w:val="Paragraphedeliste"/>
        <w:numPr>
          <w:ilvl w:val="0"/>
          <w:numId w:val="4"/>
        </w:numPr>
        <w:rPr>
          <w:rFonts w:eastAsia="Source Sans Pro Light" w:cs="Source Sans Pro Light"/>
        </w:rPr>
      </w:pPr>
      <w:r w:rsidRPr="6AAEB316">
        <w:rPr>
          <w:rFonts w:eastAsia="Source Sans Pro Light" w:cs="Source Sans Pro Light"/>
        </w:rPr>
        <w:t>A</w:t>
      </w:r>
      <w:r w:rsidR="01206E9B" w:rsidRPr="6AAEB316">
        <w:rPr>
          <w:rFonts w:eastAsia="Source Sans Pro Light" w:cs="Source Sans Pro Light"/>
        </w:rPr>
        <w:t xml:space="preserve">u cours de l’année N, le budget peut </w:t>
      </w:r>
      <w:r w:rsidR="27AD9899" w:rsidRPr="6AAEB316">
        <w:rPr>
          <w:rFonts w:eastAsia="Source Sans Pro Light" w:cs="Source Sans Pro Light"/>
        </w:rPr>
        <w:t xml:space="preserve">éventuellement </w:t>
      </w:r>
      <w:r w:rsidR="01206E9B" w:rsidRPr="6AAEB316">
        <w:rPr>
          <w:rFonts w:eastAsia="Source Sans Pro Light" w:cs="Source Sans Pro Light"/>
        </w:rPr>
        <w:t xml:space="preserve">être révisé </w:t>
      </w:r>
      <w:r w:rsidR="2FEF1B43" w:rsidRPr="6AAEB316">
        <w:rPr>
          <w:rFonts w:eastAsia="Source Sans Pro Light" w:cs="Source Sans Pro Light"/>
        </w:rPr>
        <w:t xml:space="preserve">par </w:t>
      </w:r>
      <w:r w:rsidR="01206E9B" w:rsidRPr="6AAEB316">
        <w:rPr>
          <w:rFonts w:eastAsia="Source Sans Pro Light" w:cs="Source Sans Pro Light"/>
        </w:rPr>
        <w:t xml:space="preserve">des </w:t>
      </w:r>
      <w:r w:rsidR="3009671D" w:rsidRPr="6AAEB316">
        <w:rPr>
          <w:rFonts w:eastAsia="Source Sans Pro Light" w:cs="Source Sans Pro Light"/>
        </w:rPr>
        <w:t xml:space="preserve">projets de </w:t>
      </w:r>
      <w:r w:rsidR="01206E9B" w:rsidRPr="6AAEB316">
        <w:rPr>
          <w:rFonts w:eastAsia="Source Sans Pro Light" w:cs="Source Sans Pro Light"/>
        </w:rPr>
        <w:t>lois de finances rectificatives</w:t>
      </w:r>
      <w:r w:rsidR="21AF3631" w:rsidRPr="6AAEB316">
        <w:rPr>
          <w:rFonts w:eastAsia="Source Sans Pro Light" w:cs="Source Sans Pro Light"/>
        </w:rPr>
        <w:t xml:space="preserve"> (PLFR)</w:t>
      </w:r>
      <w:r w:rsidR="01206E9B" w:rsidRPr="6AAEB316">
        <w:rPr>
          <w:rFonts w:eastAsia="Source Sans Pro Light" w:cs="Source Sans Pro Light"/>
        </w:rPr>
        <w:t xml:space="preserve">. </w:t>
      </w:r>
    </w:p>
    <w:p w14:paraId="3A8A641B" w14:textId="49D3F0EF" w:rsidR="794CAA5B" w:rsidRDefault="3F3707D2">
      <w:pPr>
        <w:pStyle w:val="Paragraphedeliste"/>
        <w:numPr>
          <w:ilvl w:val="0"/>
          <w:numId w:val="4"/>
        </w:numPr>
        <w:rPr>
          <w:rFonts w:eastAsia="Source Sans Pro Light" w:cs="Source Sans Pro Light"/>
        </w:rPr>
      </w:pPr>
      <w:r w:rsidRPr="6AAEB316">
        <w:rPr>
          <w:rFonts w:eastAsia="Source Sans Pro Light" w:cs="Source Sans Pro Light"/>
        </w:rPr>
        <w:t>A</w:t>
      </w:r>
      <w:r w:rsidR="01206E9B" w:rsidRPr="6AAEB316">
        <w:rPr>
          <w:rFonts w:eastAsia="Source Sans Pro Light" w:cs="Source Sans Pro Light"/>
        </w:rPr>
        <w:t>u premier semestre de l’année N+1</w:t>
      </w:r>
      <w:r w:rsidR="7AEBBA50" w:rsidRPr="6AAEB316">
        <w:rPr>
          <w:rFonts w:eastAsia="Source Sans Pro Light" w:cs="Source Sans Pro Light"/>
        </w:rPr>
        <w:t xml:space="preserve"> :  </w:t>
      </w:r>
      <w:r w:rsidR="01206E9B" w:rsidRPr="6AAEB316">
        <w:rPr>
          <w:rFonts w:eastAsia="Source Sans Pro Light" w:cs="Source Sans Pro Light"/>
        </w:rPr>
        <w:t xml:space="preserve">le budget </w:t>
      </w:r>
      <w:r w:rsidR="3704EC5F" w:rsidRPr="6AAEB316">
        <w:rPr>
          <w:rFonts w:eastAsia="Source Sans Pro Light" w:cs="Source Sans Pro Light"/>
        </w:rPr>
        <w:t xml:space="preserve">de l’année N </w:t>
      </w:r>
      <w:r w:rsidR="01206E9B" w:rsidRPr="6AAEB316">
        <w:rPr>
          <w:rFonts w:eastAsia="Source Sans Pro Light" w:cs="Source Sans Pro Light"/>
        </w:rPr>
        <w:t>est finalisé et clos par la loi de règlement</w:t>
      </w:r>
      <w:r w:rsidR="0C981D5D" w:rsidRPr="6AAEB316">
        <w:rPr>
          <w:rFonts w:eastAsia="Source Sans Pro Light" w:cs="Source Sans Pro Light"/>
        </w:rPr>
        <w:t xml:space="preserve"> (LR)</w:t>
      </w:r>
      <w:r w:rsidR="4E27FEFB" w:rsidRPr="6AAEB316">
        <w:rPr>
          <w:rFonts w:eastAsia="Source Sans Pro Light" w:cs="Source Sans Pro Light"/>
        </w:rPr>
        <w:t>, à laquelle sont annexés</w:t>
      </w:r>
      <w:r w:rsidR="40717043" w:rsidRPr="6AAEB316">
        <w:rPr>
          <w:rFonts w:eastAsia="Source Sans Pro Light" w:cs="Source Sans Pro Light"/>
        </w:rPr>
        <w:t xml:space="preserve"> d</w:t>
      </w:r>
      <w:r w:rsidR="01206E9B" w:rsidRPr="6AAEB316">
        <w:rPr>
          <w:rFonts w:eastAsia="Source Sans Pro Light" w:cs="Source Sans Pro Light"/>
        </w:rPr>
        <w:t xml:space="preserve">es </w:t>
      </w:r>
      <w:r w:rsidR="75747E56" w:rsidRPr="6AAEB316">
        <w:rPr>
          <w:rFonts w:eastAsia="Source Sans Pro Light" w:cs="Source Sans Pro Light"/>
        </w:rPr>
        <w:t>rapports annuels de performance (RAP)</w:t>
      </w:r>
      <w:r w:rsidR="04C46E64" w:rsidRPr="6AAEB316">
        <w:rPr>
          <w:rFonts w:eastAsia="Source Sans Pro Light" w:cs="Source Sans Pro Light"/>
        </w:rPr>
        <w:t xml:space="preserve">, </w:t>
      </w:r>
      <w:r w:rsidR="68AD2A72" w:rsidRPr="6AAEB316">
        <w:rPr>
          <w:rFonts w:eastAsia="Source Sans Pro Light" w:cs="Source Sans Pro Light"/>
        </w:rPr>
        <w:t>détaillant l’exécution des dépenses</w:t>
      </w:r>
    </w:p>
    <w:p w14:paraId="6D28669F" w14:textId="4D3EF648" w:rsidR="45BEA531" w:rsidRDefault="45BEA531" w:rsidP="32F52A38">
      <w:pPr>
        <w:rPr>
          <w:rFonts w:eastAsia="Source Sans Pro Light" w:cs="Source Sans Pro Light"/>
        </w:rPr>
      </w:pPr>
      <w:r w:rsidRPr="6AAEB316">
        <w:rPr>
          <w:rFonts w:eastAsia="Source Sans Pro Light" w:cs="Source Sans Pro Light"/>
          <w:b/>
          <w:bCs/>
        </w:rPr>
        <w:t>Pour la collecte des données, nous utilisons les P</w:t>
      </w:r>
      <w:r w:rsidR="3BFCA013" w:rsidRPr="6AAEB316">
        <w:rPr>
          <w:rFonts w:eastAsia="Source Sans Pro Light" w:cs="Source Sans Pro Light"/>
          <w:b/>
          <w:bCs/>
        </w:rPr>
        <w:t xml:space="preserve">AP </w:t>
      </w:r>
      <w:r w:rsidRPr="6AAEB316">
        <w:rPr>
          <w:rFonts w:eastAsia="Source Sans Pro Light" w:cs="Source Sans Pro Light"/>
          <w:b/>
          <w:bCs/>
        </w:rPr>
        <w:t xml:space="preserve">s’agissant des montants prévisionnels, et les </w:t>
      </w:r>
      <w:r w:rsidR="04951BED" w:rsidRPr="6AAEB316">
        <w:rPr>
          <w:rFonts w:eastAsia="Source Sans Pro Light" w:cs="Source Sans Pro Light"/>
          <w:b/>
          <w:bCs/>
        </w:rPr>
        <w:t xml:space="preserve">RAP </w:t>
      </w:r>
      <w:r w:rsidRPr="6AAEB316">
        <w:rPr>
          <w:rFonts w:eastAsia="Source Sans Pro Light" w:cs="Source Sans Pro Light"/>
          <w:b/>
          <w:bCs/>
        </w:rPr>
        <w:t>s’agissant des montants exécutés</w:t>
      </w:r>
      <w:r w:rsidRPr="6AAEB316">
        <w:rPr>
          <w:rFonts w:eastAsia="Source Sans Pro Light" w:cs="Source Sans Pro Light"/>
        </w:rPr>
        <w:t>. Ces documents sont les plus détaillés parmi ceux accessibles au public</w:t>
      </w:r>
      <w:r w:rsidR="33529950" w:rsidRPr="6AAEB316">
        <w:rPr>
          <w:rFonts w:eastAsia="Source Sans Pro Light" w:cs="Source Sans Pro Light"/>
        </w:rPr>
        <w:t>, en comparaison par exemple de la LFI, dont l</w:t>
      </w:r>
      <w:r w:rsidR="1C135A90" w:rsidRPr="6AAEB316">
        <w:rPr>
          <w:rFonts w:eastAsia="Source Sans Pro Light" w:cs="Source Sans Pro Light"/>
        </w:rPr>
        <w:t>e niveau d’agrégation des montants empêche</w:t>
      </w:r>
      <w:r w:rsidR="33529950" w:rsidRPr="6AAEB316">
        <w:rPr>
          <w:rFonts w:eastAsia="Source Sans Pro Light" w:cs="Source Sans Pro Light"/>
        </w:rPr>
        <w:t xml:space="preserve"> notre codage analytique</w:t>
      </w:r>
      <w:r w:rsidRPr="6AAEB316">
        <w:rPr>
          <w:rFonts w:eastAsia="Source Sans Pro Light" w:cs="Source Sans Pro Light"/>
        </w:rPr>
        <w:t>.</w:t>
      </w:r>
      <w:r w:rsidR="3BD6830D" w:rsidRPr="6AAEB316">
        <w:rPr>
          <w:rFonts w:eastAsia="Source Sans Pro Light" w:cs="Source Sans Pro Light"/>
        </w:rPr>
        <w:t xml:space="preserve"> Auparavant, le PLF et la LFI étaient quasiment identiques</w:t>
      </w:r>
      <w:r w:rsidR="553F92A5" w:rsidRPr="6AAEB316">
        <w:rPr>
          <w:rFonts w:eastAsia="Source Sans Pro Light" w:cs="Source Sans Pro Light"/>
        </w:rPr>
        <w:t xml:space="preserve">. Depuis </w:t>
      </w:r>
      <w:r w:rsidR="483E8DB3" w:rsidRPr="6AAEB316">
        <w:rPr>
          <w:rFonts w:eastAsia="Source Sans Pro Light" w:cs="Source Sans Pro Light"/>
        </w:rPr>
        <w:t>qu’il n’y a plus de</w:t>
      </w:r>
      <w:r w:rsidR="553F92A5" w:rsidRPr="6AAEB316">
        <w:rPr>
          <w:rFonts w:eastAsia="Source Sans Pro Light" w:cs="Source Sans Pro Light"/>
        </w:rPr>
        <w:t xml:space="preserve"> majorité absolue à l’Assemblée nationale cependant, les écarts se creusent. Ainsi, les montants prévisionnels collectés pour l’année 2024 correspondent au projet de loi présenté en septembre</w:t>
      </w:r>
      <w:r w:rsidR="3C7D0CB7" w:rsidRPr="6AAEB316">
        <w:rPr>
          <w:rFonts w:eastAsia="Source Sans Pro Light" w:cs="Source Sans Pro Light"/>
        </w:rPr>
        <w:t>, qui est assez différent de la LFI votée au 31 décembre, et plus encore de la potentielle loi rectificative qui pourrait être promulguée en lien avec les diverses annonces répondant à la crise agricole de début 2024.</w:t>
      </w:r>
    </w:p>
    <w:p w14:paraId="39AB6E9D" w14:textId="12508C51" w:rsidR="60971FA5" w:rsidRDefault="613B084A" w:rsidP="6AAEB316">
      <w:pPr>
        <w:rPr>
          <w:rFonts w:eastAsia="Source Sans Pro Light" w:cs="Source Sans Pro Light"/>
        </w:rPr>
      </w:pPr>
      <w:r w:rsidRPr="4391A127">
        <w:rPr>
          <w:rFonts w:eastAsia="Source Sans Pro Light" w:cs="Source Sans Pro Light"/>
          <w:b/>
        </w:rPr>
        <w:t xml:space="preserve">Les PAP et RAP </w:t>
      </w:r>
      <w:r w:rsidR="7DC0B9A0" w:rsidRPr="4391A127">
        <w:rPr>
          <w:rFonts w:eastAsia="Source Sans Pro Light" w:cs="Source Sans Pro Light"/>
          <w:b/>
        </w:rPr>
        <w:t xml:space="preserve">de chaque année </w:t>
      </w:r>
      <w:r w:rsidRPr="4391A127">
        <w:rPr>
          <w:rFonts w:eastAsia="Source Sans Pro Light" w:cs="Source Sans Pro Light"/>
          <w:b/>
        </w:rPr>
        <w:t>sont téléchargés sur le site</w:t>
      </w:r>
      <w:r w:rsidR="182ED11F" w:rsidRPr="4391A127">
        <w:rPr>
          <w:rFonts w:eastAsia="Source Sans Pro Light" w:cs="Source Sans Pro Light"/>
          <w:b/>
        </w:rPr>
        <w:t xml:space="preserve"> </w:t>
      </w:r>
      <w:hyperlink r:id="rId19">
        <w:r w:rsidR="182ED11F" w:rsidRPr="4391A127">
          <w:rPr>
            <w:rStyle w:val="Lienhypertexte"/>
            <w:rFonts w:eastAsia="Source Sans Pro Light" w:cs="Source Sans Pro Light"/>
            <w:b/>
          </w:rPr>
          <w:t>budget.gouv.fr</w:t>
        </w:r>
        <w:r w:rsidR="407852C6" w:rsidRPr="4391A127">
          <w:rPr>
            <w:rStyle w:val="Lienhypertexte"/>
            <w:rFonts w:eastAsia="Source Sans Pro Light" w:cs="Source Sans Pro Light"/>
            <w:b/>
          </w:rPr>
          <w:t>,</w:t>
        </w:r>
      </w:hyperlink>
      <w:r w:rsidR="426042EA" w:rsidRPr="4391A127">
        <w:rPr>
          <w:rFonts w:eastAsia="Source Sans Pro Light" w:cs="Source Sans Pro Light"/>
          <w:b/>
        </w:rPr>
        <w:t xml:space="preserve"> tous deux sous format PDF</w:t>
      </w:r>
      <w:r w:rsidR="125F5173" w:rsidRPr="520A432B">
        <w:rPr>
          <w:rFonts w:eastAsia="Source Sans Pro Light" w:cs="Source Sans Pro Light"/>
        </w:rPr>
        <w:t xml:space="preserve">. Ces </w:t>
      </w:r>
      <w:r w:rsidR="1573B726" w:rsidRPr="520A432B">
        <w:rPr>
          <w:rFonts w:eastAsia="Source Sans Pro Light" w:cs="Source Sans Pro Light"/>
        </w:rPr>
        <w:t xml:space="preserve">PAP et RAP </w:t>
      </w:r>
      <w:r w:rsidR="125F5173" w:rsidRPr="520A432B">
        <w:rPr>
          <w:rFonts w:eastAsia="Source Sans Pro Light" w:cs="Source Sans Pro Light"/>
        </w:rPr>
        <w:t>sont structurés comme suit</w:t>
      </w:r>
      <w:r w:rsidR="3E86BF5B" w:rsidRPr="520A432B">
        <w:rPr>
          <w:rFonts w:eastAsia="Source Sans Pro Light" w:cs="Source Sans Pro Light"/>
        </w:rPr>
        <w:t xml:space="preserve"> : des missions sont décomposées en programmes, les programmes en actions, les actions éventuellement en sous-actions, et les actions et sous-actions en mesures. </w:t>
      </w:r>
      <w:r w:rsidR="60971FA5" w:rsidRPr="520A432B">
        <w:rPr>
          <w:rFonts w:eastAsia="Source Sans Pro Light" w:cs="Source Sans Pro Light"/>
        </w:rPr>
        <w:t xml:space="preserve">Pour chacune de ces mesures, </w:t>
      </w:r>
      <w:r w:rsidR="015CA7C9" w:rsidRPr="3A20D7DE">
        <w:rPr>
          <w:rFonts w:eastAsia="Source Sans Pro Light" w:cs="Source Sans Pro Light"/>
          <w:b/>
        </w:rPr>
        <w:t>ces</w:t>
      </w:r>
      <w:r w:rsidR="69065940" w:rsidRPr="3A20D7DE">
        <w:rPr>
          <w:rFonts w:eastAsia="Source Sans Pro Light" w:cs="Source Sans Pro Light"/>
          <w:b/>
        </w:rPr>
        <w:t xml:space="preserve"> </w:t>
      </w:r>
      <w:r w:rsidR="480970D5" w:rsidRPr="3A20D7DE">
        <w:rPr>
          <w:rFonts w:eastAsia="Source Sans Pro Light" w:cs="Source Sans Pro Light"/>
          <w:b/>
        </w:rPr>
        <w:t>doc</w:t>
      </w:r>
      <w:r w:rsidR="7D86B809" w:rsidRPr="3A20D7DE">
        <w:rPr>
          <w:rFonts w:eastAsia="Source Sans Pro Light" w:cs="Source Sans Pro Light"/>
          <w:b/>
        </w:rPr>
        <w:t>u</w:t>
      </w:r>
      <w:r w:rsidR="480970D5" w:rsidRPr="3A20D7DE">
        <w:rPr>
          <w:rFonts w:eastAsia="Source Sans Pro Light" w:cs="Source Sans Pro Light"/>
          <w:b/>
        </w:rPr>
        <w:t>ments</w:t>
      </w:r>
      <w:r w:rsidR="69065940" w:rsidRPr="3A20D7DE">
        <w:rPr>
          <w:rFonts w:eastAsia="Source Sans Pro Light" w:cs="Source Sans Pro Light"/>
          <w:b/>
        </w:rPr>
        <w:t xml:space="preserve"> </w:t>
      </w:r>
      <w:r w:rsidR="015CA7C9" w:rsidRPr="3A20D7DE">
        <w:rPr>
          <w:rFonts w:eastAsia="Source Sans Pro Light" w:cs="Source Sans Pro Light"/>
          <w:b/>
          <w:bCs/>
        </w:rPr>
        <w:t>PDF</w:t>
      </w:r>
      <w:r w:rsidR="60971FA5" w:rsidRPr="3A20D7DE">
        <w:rPr>
          <w:rFonts w:eastAsia="Source Sans Pro Light" w:cs="Source Sans Pro Light"/>
          <w:b/>
        </w:rPr>
        <w:t xml:space="preserve"> fourni</w:t>
      </w:r>
      <w:r w:rsidR="008FDC25" w:rsidRPr="3A20D7DE">
        <w:rPr>
          <w:rFonts w:eastAsia="Source Sans Pro Light" w:cs="Source Sans Pro Light"/>
          <w:b/>
        </w:rPr>
        <w:t>ssen</w:t>
      </w:r>
      <w:r w:rsidR="60971FA5" w:rsidRPr="3A20D7DE">
        <w:rPr>
          <w:rFonts w:eastAsia="Source Sans Pro Light" w:cs="Source Sans Pro Light"/>
          <w:b/>
        </w:rPr>
        <w:t xml:space="preserve">t </w:t>
      </w:r>
      <w:r w:rsidR="5AE2D714" w:rsidRPr="520A432B">
        <w:rPr>
          <w:rFonts w:eastAsia="Source Sans Pro Light" w:cs="Source Sans Pro Light"/>
        </w:rPr>
        <w:t>:</w:t>
      </w:r>
    </w:p>
    <w:p w14:paraId="328AD9B7" w14:textId="6D263F5D" w:rsidR="00E52448" w:rsidRPr="00E52448" w:rsidRDefault="00AA28EB">
      <w:pPr>
        <w:pStyle w:val="Paragraphedeliste"/>
        <w:numPr>
          <w:ilvl w:val="0"/>
          <w:numId w:val="5"/>
        </w:numPr>
      </w:pPr>
      <w:r w:rsidRPr="00AA28EB">
        <w:rPr>
          <w:b/>
          <w:bCs/>
        </w:rPr>
        <w:t>Le détail de la source de la mesure</w:t>
      </w:r>
      <w:r>
        <w:t> : la mission</w:t>
      </w:r>
      <w:r w:rsidR="00376208">
        <w:t>, le programme et l’action</w:t>
      </w:r>
      <w:r>
        <w:t xml:space="preserve"> à laquelle </w:t>
      </w:r>
      <w:r w:rsidR="00376208">
        <w:t>la mesure</w:t>
      </w:r>
      <w:r>
        <w:t xml:space="preserve"> se rattache</w:t>
      </w:r>
    </w:p>
    <w:p w14:paraId="05980E6A" w14:textId="11778DE2" w:rsidR="60971FA5" w:rsidRDefault="60971FA5">
      <w:pPr>
        <w:pStyle w:val="Paragraphedeliste"/>
        <w:numPr>
          <w:ilvl w:val="0"/>
          <w:numId w:val="5"/>
        </w:numPr>
      </w:pPr>
      <w:r w:rsidRPr="6AAEB316">
        <w:rPr>
          <w:rFonts w:eastAsia="Source Sans Pro Light" w:cs="Source Sans Pro Light"/>
          <w:b/>
          <w:bCs/>
        </w:rPr>
        <w:t>Les montants prévisionnels de crédits de paiement (CP) et d’autorisations d’engagement (AE)</w:t>
      </w:r>
      <w:r w:rsidRPr="6AAEB316">
        <w:rPr>
          <w:rFonts w:eastAsia="Source Sans Pro Light" w:cs="Source Sans Pro Light"/>
        </w:rPr>
        <w:t xml:space="preserve">. </w:t>
      </w:r>
      <w:r>
        <w:t>Les AE sont des autorisations d’engagement de crédits pour l’année en cours ou les années suivantes. Les CP sont des autorisations de dépenses pour l’année en cours seulement. Par exemple, si une mesure bénéficie de 10 000 € d’AE et 5 000 € de CP pour l’année 2020, cela signifie que seulement 5 000 € peuvent être dépenses au titre de cette mesure en 2020, mais que 5 000 € supplémentaires pourront également être dépensés au titre de cette mesures en 2021, 2022, 2023, etc.</w:t>
      </w:r>
    </w:p>
    <w:p w14:paraId="5BCFB63C" w14:textId="1F7FCDED" w:rsidR="01081BA9" w:rsidRDefault="01081BA9">
      <w:pPr>
        <w:pStyle w:val="Paragraphedeliste"/>
        <w:numPr>
          <w:ilvl w:val="0"/>
          <w:numId w:val="5"/>
        </w:numPr>
      </w:pPr>
      <w:r w:rsidRPr="6AAEB316">
        <w:rPr>
          <w:b/>
          <w:bCs/>
        </w:rPr>
        <w:t>La description de la mesure</w:t>
      </w:r>
      <w:r>
        <w:t>, dont la longueur est extrêmement variable (d’une ligne à plusieurs pages)</w:t>
      </w:r>
    </w:p>
    <w:p w14:paraId="4E01351E" w14:textId="6CEEC449" w:rsidR="60971FA5" w:rsidRDefault="60971FA5">
      <w:pPr>
        <w:pStyle w:val="Paragraphedeliste"/>
        <w:numPr>
          <w:ilvl w:val="0"/>
          <w:numId w:val="5"/>
        </w:numPr>
      </w:pPr>
      <w:r w:rsidRPr="6AAEB316">
        <w:rPr>
          <w:b/>
          <w:bCs/>
        </w:rPr>
        <w:t>La nature de la dépense</w:t>
      </w:r>
      <w:r>
        <w:t>, définie par un titre et une catégorie (cf. Tableau ci-dessous)</w:t>
      </w:r>
    </w:p>
    <w:tbl>
      <w:tblPr>
        <w:tblStyle w:val="Grilledutableau"/>
        <w:tblW w:w="0" w:type="auto"/>
        <w:tblLook w:val="06A0" w:firstRow="1" w:lastRow="0" w:firstColumn="1" w:lastColumn="0" w:noHBand="1" w:noVBand="1"/>
      </w:tblPr>
      <w:tblGrid>
        <w:gridCol w:w="3465"/>
        <w:gridCol w:w="6000"/>
      </w:tblGrid>
      <w:tr w:rsidR="00FD240C" w14:paraId="1EE4698C" w14:textId="77777777" w:rsidTr="2236729B">
        <w:trPr>
          <w:trHeight w:val="300"/>
        </w:trPr>
        <w:tc>
          <w:tcPr>
            <w:tcW w:w="3465" w:type="dxa"/>
            <w:shd w:val="clear" w:color="auto" w:fill="000000" w:themeFill="text1"/>
          </w:tcPr>
          <w:p w14:paraId="28493285" w14:textId="79C6A792" w:rsidR="00FD240C" w:rsidRDefault="00FD240C" w:rsidP="00FD240C">
            <w:pPr>
              <w:spacing w:after="160"/>
              <w:jc w:val="center"/>
              <w:rPr>
                <w:b/>
                <w:bCs/>
              </w:rPr>
            </w:pPr>
            <w:r w:rsidRPr="00FD240C">
              <w:rPr>
                <w:b/>
                <w:bCs/>
              </w:rPr>
              <w:t>Titre</w:t>
            </w:r>
          </w:p>
        </w:tc>
        <w:tc>
          <w:tcPr>
            <w:tcW w:w="6000" w:type="dxa"/>
            <w:shd w:val="clear" w:color="auto" w:fill="000000" w:themeFill="text1"/>
          </w:tcPr>
          <w:p w14:paraId="10FC7528" w14:textId="73747247" w:rsidR="00FD240C" w:rsidRDefault="00FD240C" w:rsidP="00FD240C">
            <w:pPr>
              <w:spacing w:after="160"/>
              <w:jc w:val="center"/>
              <w:rPr>
                <w:b/>
                <w:bCs/>
              </w:rPr>
            </w:pPr>
            <w:r w:rsidRPr="00FD240C">
              <w:rPr>
                <w:b/>
                <w:bCs/>
              </w:rPr>
              <w:t>Catégorie</w:t>
            </w:r>
          </w:p>
        </w:tc>
      </w:tr>
      <w:tr w:rsidR="00FD240C" w14:paraId="0DBE03EF" w14:textId="77777777" w:rsidTr="2236729B">
        <w:trPr>
          <w:trHeight w:val="300"/>
        </w:trPr>
        <w:tc>
          <w:tcPr>
            <w:tcW w:w="3465" w:type="dxa"/>
          </w:tcPr>
          <w:p w14:paraId="4362A122" w14:textId="5D40A769" w:rsidR="00FD240C" w:rsidRDefault="00FD240C" w:rsidP="00FD240C">
            <w:pPr>
              <w:spacing w:after="160"/>
            </w:pPr>
            <w:r>
              <w:t>1 Dotations des pouvoirs publics</w:t>
            </w:r>
          </w:p>
        </w:tc>
        <w:tc>
          <w:tcPr>
            <w:tcW w:w="6000" w:type="dxa"/>
          </w:tcPr>
          <w:p w14:paraId="4719D733" w14:textId="547331E5" w:rsidR="00FD240C" w:rsidRDefault="00FD240C" w:rsidP="00FD240C">
            <w:pPr>
              <w:spacing w:after="160"/>
            </w:pPr>
            <w:r>
              <w:t>10 Dotations des pouvoirs publics</w:t>
            </w:r>
          </w:p>
        </w:tc>
      </w:tr>
      <w:tr w:rsidR="00FD240C" w14:paraId="7BC85F69" w14:textId="77777777" w:rsidTr="2236729B">
        <w:trPr>
          <w:trHeight w:val="300"/>
        </w:trPr>
        <w:tc>
          <w:tcPr>
            <w:tcW w:w="3465" w:type="dxa"/>
            <w:vMerge w:val="restart"/>
          </w:tcPr>
          <w:p w14:paraId="32A6318A" w14:textId="5C541A8D" w:rsidR="00FD240C" w:rsidRDefault="00FD240C" w:rsidP="00FD240C">
            <w:pPr>
              <w:spacing w:after="160"/>
            </w:pPr>
            <w:r>
              <w:lastRenderedPageBreak/>
              <w:t>2 Dépenses de personnel</w:t>
            </w:r>
          </w:p>
        </w:tc>
        <w:tc>
          <w:tcPr>
            <w:tcW w:w="6000" w:type="dxa"/>
          </w:tcPr>
          <w:p w14:paraId="6AE7658E" w14:textId="7A751753" w:rsidR="00FD240C" w:rsidRDefault="00FD240C" w:rsidP="00FD240C">
            <w:pPr>
              <w:spacing w:after="160"/>
            </w:pPr>
            <w:r>
              <w:t>21 Rémunérations d’activité</w:t>
            </w:r>
          </w:p>
        </w:tc>
      </w:tr>
      <w:tr w:rsidR="00FD240C" w14:paraId="75ED199D" w14:textId="77777777" w:rsidTr="2236729B">
        <w:trPr>
          <w:trHeight w:val="300"/>
        </w:trPr>
        <w:tc>
          <w:tcPr>
            <w:tcW w:w="3465" w:type="dxa"/>
            <w:vMerge/>
          </w:tcPr>
          <w:p w14:paraId="558A8780" w14:textId="77777777" w:rsidR="004C21F5" w:rsidRDefault="004C21F5"/>
        </w:tc>
        <w:tc>
          <w:tcPr>
            <w:tcW w:w="6000" w:type="dxa"/>
          </w:tcPr>
          <w:p w14:paraId="1797AA2C" w14:textId="29647F61" w:rsidR="00FD240C" w:rsidRDefault="00FD240C" w:rsidP="00FD240C">
            <w:pPr>
              <w:spacing w:after="160"/>
            </w:pPr>
            <w:r>
              <w:t>22 Cotisations et contributions sociales</w:t>
            </w:r>
          </w:p>
        </w:tc>
      </w:tr>
      <w:tr w:rsidR="00FD240C" w14:paraId="5C17974D" w14:textId="77777777" w:rsidTr="2236729B">
        <w:trPr>
          <w:trHeight w:val="300"/>
        </w:trPr>
        <w:tc>
          <w:tcPr>
            <w:tcW w:w="3465" w:type="dxa"/>
            <w:vMerge/>
          </w:tcPr>
          <w:p w14:paraId="706A6F3A" w14:textId="77777777" w:rsidR="004C21F5" w:rsidRDefault="004C21F5"/>
        </w:tc>
        <w:tc>
          <w:tcPr>
            <w:tcW w:w="6000" w:type="dxa"/>
          </w:tcPr>
          <w:p w14:paraId="456F48EA" w14:textId="6F08616E" w:rsidR="00FD240C" w:rsidRDefault="00FD240C" w:rsidP="00FD240C">
            <w:pPr>
              <w:spacing w:after="160"/>
            </w:pPr>
            <w:r>
              <w:t>23 Prestations sociales et allocations diverses</w:t>
            </w:r>
          </w:p>
        </w:tc>
      </w:tr>
      <w:tr w:rsidR="00FD240C" w14:paraId="0A964B0E" w14:textId="77777777" w:rsidTr="2236729B">
        <w:trPr>
          <w:trHeight w:val="600"/>
        </w:trPr>
        <w:tc>
          <w:tcPr>
            <w:tcW w:w="3465" w:type="dxa"/>
            <w:vMerge w:val="restart"/>
          </w:tcPr>
          <w:p w14:paraId="62E5FD98" w14:textId="47B1E3B5" w:rsidR="00FD240C" w:rsidRDefault="00FD240C" w:rsidP="00FD240C">
            <w:pPr>
              <w:spacing w:after="160"/>
            </w:pPr>
            <w:r>
              <w:t>3 Dépenses de fonctionnement</w:t>
            </w:r>
          </w:p>
        </w:tc>
        <w:tc>
          <w:tcPr>
            <w:tcW w:w="6000" w:type="dxa"/>
          </w:tcPr>
          <w:p w14:paraId="5F3E6BA8" w14:textId="0101726D" w:rsidR="00FD240C" w:rsidRDefault="00FD240C" w:rsidP="00FD240C">
            <w:pPr>
              <w:spacing w:after="160"/>
            </w:pPr>
            <w:r>
              <w:t>31 Dépenses de fonctionnement autres que celles de personnel</w:t>
            </w:r>
          </w:p>
        </w:tc>
      </w:tr>
      <w:tr w:rsidR="00FD240C" w14:paraId="2810994D" w14:textId="77777777" w:rsidTr="2236729B">
        <w:trPr>
          <w:trHeight w:val="300"/>
        </w:trPr>
        <w:tc>
          <w:tcPr>
            <w:tcW w:w="3465" w:type="dxa"/>
            <w:vMerge/>
          </w:tcPr>
          <w:p w14:paraId="2DF85F75" w14:textId="77777777" w:rsidR="004C21F5" w:rsidRDefault="004C21F5"/>
        </w:tc>
        <w:tc>
          <w:tcPr>
            <w:tcW w:w="6000" w:type="dxa"/>
          </w:tcPr>
          <w:p w14:paraId="66A38C07" w14:textId="7BFCDB98" w:rsidR="00FD240C" w:rsidRDefault="00FD240C" w:rsidP="00FD240C">
            <w:pPr>
              <w:spacing w:after="160"/>
            </w:pPr>
            <w:r>
              <w:t>32 Subventions pour charges de service public</w:t>
            </w:r>
          </w:p>
        </w:tc>
      </w:tr>
      <w:tr w:rsidR="00FD240C" w14:paraId="69AF981C" w14:textId="77777777" w:rsidTr="2236729B">
        <w:trPr>
          <w:trHeight w:val="300"/>
        </w:trPr>
        <w:tc>
          <w:tcPr>
            <w:tcW w:w="3465" w:type="dxa"/>
            <w:vMerge w:val="restart"/>
          </w:tcPr>
          <w:p w14:paraId="62E2A727" w14:textId="7DE7DE1C" w:rsidR="00FD240C" w:rsidRDefault="00FD240C" w:rsidP="00FD240C">
            <w:pPr>
              <w:spacing w:after="160"/>
            </w:pPr>
            <w:r>
              <w:t>4 Charges de la dette de l'</w:t>
            </w:r>
            <w:r w:rsidR="00594801">
              <w:t>État</w:t>
            </w:r>
          </w:p>
        </w:tc>
        <w:tc>
          <w:tcPr>
            <w:tcW w:w="6000" w:type="dxa"/>
          </w:tcPr>
          <w:p w14:paraId="35147D0C" w14:textId="54EBECF9" w:rsidR="00FD240C" w:rsidRDefault="00FD240C" w:rsidP="00FD240C">
            <w:pPr>
              <w:spacing w:after="160"/>
            </w:pPr>
            <w:r>
              <w:t>41 Intérêt de la dette financière négociable</w:t>
            </w:r>
          </w:p>
        </w:tc>
      </w:tr>
      <w:tr w:rsidR="00FD240C" w14:paraId="5257FF4A" w14:textId="77777777" w:rsidTr="2236729B">
        <w:trPr>
          <w:trHeight w:val="300"/>
        </w:trPr>
        <w:tc>
          <w:tcPr>
            <w:tcW w:w="3465" w:type="dxa"/>
            <w:vMerge/>
          </w:tcPr>
          <w:p w14:paraId="1A654497" w14:textId="77777777" w:rsidR="004C21F5" w:rsidRDefault="004C21F5"/>
        </w:tc>
        <w:tc>
          <w:tcPr>
            <w:tcW w:w="6000" w:type="dxa"/>
          </w:tcPr>
          <w:p w14:paraId="0058386E" w14:textId="1888C498" w:rsidR="00FD240C" w:rsidRDefault="00FD240C" w:rsidP="00FD240C">
            <w:pPr>
              <w:spacing w:after="160"/>
            </w:pPr>
            <w:r>
              <w:t>43 Charges financières diverses</w:t>
            </w:r>
          </w:p>
        </w:tc>
      </w:tr>
      <w:tr w:rsidR="00FD240C" w14:paraId="214346AB" w14:textId="77777777" w:rsidTr="2236729B">
        <w:trPr>
          <w:trHeight w:val="300"/>
        </w:trPr>
        <w:tc>
          <w:tcPr>
            <w:tcW w:w="3465" w:type="dxa"/>
            <w:vMerge w:val="restart"/>
          </w:tcPr>
          <w:p w14:paraId="178F8E57" w14:textId="2531A51D" w:rsidR="00FD240C" w:rsidRDefault="00FD240C" w:rsidP="00FD240C">
            <w:pPr>
              <w:spacing w:after="160"/>
            </w:pPr>
            <w:r>
              <w:t>5 Dépenses d'investissement</w:t>
            </w:r>
          </w:p>
        </w:tc>
        <w:tc>
          <w:tcPr>
            <w:tcW w:w="6000" w:type="dxa"/>
          </w:tcPr>
          <w:p w14:paraId="31CD50B7" w14:textId="1C345E76" w:rsidR="00FD240C" w:rsidRDefault="00FD240C" w:rsidP="00FD240C">
            <w:pPr>
              <w:spacing w:after="160"/>
            </w:pPr>
            <w:r>
              <w:t>51 Dépenses pour immobilisations corporelles de l'État</w:t>
            </w:r>
          </w:p>
        </w:tc>
      </w:tr>
      <w:tr w:rsidR="00FD240C" w14:paraId="625C30DD" w14:textId="77777777" w:rsidTr="2236729B">
        <w:trPr>
          <w:trHeight w:val="300"/>
        </w:trPr>
        <w:tc>
          <w:tcPr>
            <w:tcW w:w="3465" w:type="dxa"/>
            <w:vMerge/>
          </w:tcPr>
          <w:p w14:paraId="2C00E0CC" w14:textId="77777777" w:rsidR="004C21F5" w:rsidRDefault="004C21F5"/>
        </w:tc>
        <w:tc>
          <w:tcPr>
            <w:tcW w:w="6000" w:type="dxa"/>
          </w:tcPr>
          <w:p w14:paraId="25F482FE" w14:textId="37E144D8" w:rsidR="00FD240C" w:rsidRDefault="00FD240C" w:rsidP="00FD240C">
            <w:pPr>
              <w:spacing w:after="160"/>
            </w:pPr>
            <w:r>
              <w:t>52 Dépenses pour immobilisations incorporelles de l’État</w:t>
            </w:r>
          </w:p>
        </w:tc>
      </w:tr>
      <w:tr w:rsidR="00FD240C" w14:paraId="1BE14635" w14:textId="77777777" w:rsidTr="2236729B">
        <w:trPr>
          <w:trHeight w:val="300"/>
        </w:trPr>
        <w:tc>
          <w:tcPr>
            <w:tcW w:w="3465" w:type="dxa"/>
            <w:vMerge/>
          </w:tcPr>
          <w:p w14:paraId="38AD7602" w14:textId="77777777" w:rsidR="004C21F5" w:rsidRDefault="004C21F5"/>
        </w:tc>
        <w:tc>
          <w:tcPr>
            <w:tcW w:w="6000" w:type="dxa"/>
          </w:tcPr>
          <w:p w14:paraId="1F42E0F8" w14:textId="5454032C" w:rsidR="00FD240C" w:rsidRDefault="00FD240C" w:rsidP="00FD240C">
            <w:pPr>
              <w:spacing w:after="160"/>
            </w:pPr>
            <w:r>
              <w:t>53 Subvention pour charges d'investissement</w:t>
            </w:r>
          </w:p>
        </w:tc>
      </w:tr>
      <w:tr w:rsidR="00FD240C" w14:paraId="786BD309" w14:textId="77777777" w:rsidTr="2236729B">
        <w:trPr>
          <w:trHeight w:val="300"/>
        </w:trPr>
        <w:tc>
          <w:tcPr>
            <w:tcW w:w="3465" w:type="dxa"/>
            <w:vMerge w:val="restart"/>
          </w:tcPr>
          <w:p w14:paraId="38E14D01" w14:textId="75342452" w:rsidR="00FD240C" w:rsidRDefault="00FD240C" w:rsidP="00FD240C">
            <w:pPr>
              <w:spacing w:after="160"/>
            </w:pPr>
            <w:r>
              <w:t>6 Dépenses d'intervention</w:t>
            </w:r>
          </w:p>
        </w:tc>
        <w:tc>
          <w:tcPr>
            <w:tcW w:w="6000" w:type="dxa"/>
          </w:tcPr>
          <w:p w14:paraId="279FA8C5" w14:textId="3DA20F10" w:rsidR="00FD240C" w:rsidRDefault="00FD240C" w:rsidP="00FD240C">
            <w:pPr>
              <w:spacing w:after="160"/>
            </w:pPr>
            <w:r>
              <w:t>61 Transferts aux ménages</w:t>
            </w:r>
          </w:p>
        </w:tc>
      </w:tr>
      <w:tr w:rsidR="00FD240C" w14:paraId="4B847C4B" w14:textId="77777777" w:rsidTr="2236729B">
        <w:trPr>
          <w:trHeight w:val="300"/>
        </w:trPr>
        <w:tc>
          <w:tcPr>
            <w:tcW w:w="3465" w:type="dxa"/>
            <w:vMerge/>
          </w:tcPr>
          <w:p w14:paraId="66718566" w14:textId="77777777" w:rsidR="004C21F5" w:rsidRDefault="004C21F5"/>
        </w:tc>
        <w:tc>
          <w:tcPr>
            <w:tcW w:w="6000" w:type="dxa"/>
          </w:tcPr>
          <w:p w14:paraId="25BC0991" w14:textId="1AE8BB13" w:rsidR="00FD240C" w:rsidRDefault="00FD240C" w:rsidP="00FD240C">
            <w:pPr>
              <w:spacing w:after="160"/>
            </w:pPr>
            <w:r>
              <w:t>62 Transferts aux entreprises</w:t>
            </w:r>
          </w:p>
        </w:tc>
      </w:tr>
      <w:tr w:rsidR="00FD240C" w14:paraId="1CC78A3B" w14:textId="77777777" w:rsidTr="2236729B">
        <w:trPr>
          <w:trHeight w:val="300"/>
        </w:trPr>
        <w:tc>
          <w:tcPr>
            <w:tcW w:w="3465" w:type="dxa"/>
            <w:vMerge/>
          </w:tcPr>
          <w:p w14:paraId="235153CE" w14:textId="77777777" w:rsidR="004C21F5" w:rsidRDefault="004C21F5"/>
        </w:tc>
        <w:tc>
          <w:tcPr>
            <w:tcW w:w="6000" w:type="dxa"/>
          </w:tcPr>
          <w:p w14:paraId="048DBF5B" w14:textId="3256EF98" w:rsidR="00FD240C" w:rsidRDefault="00FD240C" w:rsidP="00FD240C">
            <w:pPr>
              <w:spacing w:after="160"/>
            </w:pPr>
            <w:r>
              <w:t>63 Transferts aux collectivités territoriales</w:t>
            </w:r>
          </w:p>
        </w:tc>
      </w:tr>
      <w:tr w:rsidR="00FD240C" w14:paraId="5BC0FDAD" w14:textId="77777777" w:rsidTr="2236729B">
        <w:trPr>
          <w:trHeight w:val="300"/>
        </w:trPr>
        <w:tc>
          <w:tcPr>
            <w:tcW w:w="3465" w:type="dxa"/>
            <w:vMerge/>
          </w:tcPr>
          <w:p w14:paraId="3738C3FD" w14:textId="77777777" w:rsidR="004C21F5" w:rsidRDefault="004C21F5"/>
        </w:tc>
        <w:tc>
          <w:tcPr>
            <w:tcW w:w="6000" w:type="dxa"/>
          </w:tcPr>
          <w:p w14:paraId="7CD45B9A" w14:textId="2C3B3363" w:rsidR="00FD240C" w:rsidRDefault="00FD240C" w:rsidP="00FD240C">
            <w:pPr>
              <w:spacing w:after="160"/>
            </w:pPr>
            <w:r>
              <w:t>64 Transferts aux autres collectivités</w:t>
            </w:r>
          </w:p>
        </w:tc>
      </w:tr>
      <w:tr w:rsidR="00FD240C" w14:paraId="4830B687" w14:textId="77777777" w:rsidTr="2236729B">
        <w:trPr>
          <w:trHeight w:val="300"/>
        </w:trPr>
        <w:tc>
          <w:tcPr>
            <w:tcW w:w="3465" w:type="dxa"/>
            <w:vMerge/>
          </w:tcPr>
          <w:p w14:paraId="4C9D2B11" w14:textId="77777777" w:rsidR="004C21F5" w:rsidRDefault="004C21F5"/>
        </w:tc>
        <w:tc>
          <w:tcPr>
            <w:tcW w:w="6000" w:type="dxa"/>
          </w:tcPr>
          <w:p w14:paraId="4E14B738" w14:textId="402BEC31" w:rsidR="00FD240C" w:rsidRDefault="00FD240C" w:rsidP="00FD240C">
            <w:pPr>
              <w:spacing w:after="160"/>
            </w:pPr>
            <w:r>
              <w:t>65 Appels en garantie</w:t>
            </w:r>
          </w:p>
        </w:tc>
      </w:tr>
      <w:tr w:rsidR="00FD240C" w14:paraId="726AA46E" w14:textId="77777777" w:rsidTr="2236729B">
        <w:trPr>
          <w:trHeight w:val="300"/>
        </w:trPr>
        <w:tc>
          <w:tcPr>
            <w:tcW w:w="3465" w:type="dxa"/>
            <w:vMerge w:val="restart"/>
          </w:tcPr>
          <w:p w14:paraId="5802C174" w14:textId="60A76C04" w:rsidR="00FD240C" w:rsidRDefault="00FD240C" w:rsidP="00FD240C">
            <w:pPr>
              <w:spacing w:after="160"/>
            </w:pPr>
            <w:r>
              <w:t>7 Dépenses d'opération financières</w:t>
            </w:r>
          </w:p>
        </w:tc>
        <w:tc>
          <w:tcPr>
            <w:tcW w:w="6000" w:type="dxa"/>
          </w:tcPr>
          <w:p w14:paraId="346C109C" w14:textId="24FD4A5A" w:rsidR="00FD240C" w:rsidRDefault="00FD240C" w:rsidP="00FD240C">
            <w:pPr>
              <w:spacing w:after="160"/>
            </w:pPr>
            <w:r>
              <w:t>71 Prêts et avances</w:t>
            </w:r>
          </w:p>
        </w:tc>
      </w:tr>
      <w:tr w:rsidR="00FD240C" w14:paraId="33FB4521" w14:textId="77777777" w:rsidTr="2236729B">
        <w:trPr>
          <w:trHeight w:val="300"/>
        </w:trPr>
        <w:tc>
          <w:tcPr>
            <w:tcW w:w="3465" w:type="dxa"/>
            <w:vMerge/>
          </w:tcPr>
          <w:p w14:paraId="77120A0C" w14:textId="77777777" w:rsidR="004C21F5" w:rsidRDefault="004C21F5"/>
        </w:tc>
        <w:tc>
          <w:tcPr>
            <w:tcW w:w="6000" w:type="dxa"/>
          </w:tcPr>
          <w:p w14:paraId="2F3B5B99" w14:textId="5DFA684E" w:rsidR="00FD240C" w:rsidRDefault="00FD240C" w:rsidP="00FD240C">
            <w:pPr>
              <w:spacing w:after="160"/>
            </w:pPr>
            <w:r>
              <w:t>72 Dotations en fonds propres</w:t>
            </w:r>
          </w:p>
        </w:tc>
      </w:tr>
      <w:tr w:rsidR="00FD240C" w14:paraId="2C207CBE" w14:textId="77777777" w:rsidTr="2236729B">
        <w:trPr>
          <w:trHeight w:val="300"/>
        </w:trPr>
        <w:tc>
          <w:tcPr>
            <w:tcW w:w="3465" w:type="dxa"/>
            <w:vMerge/>
          </w:tcPr>
          <w:p w14:paraId="5D50476D" w14:textId="77777777" w:rsidR="004C21F5" w:rsidRDefault="004C21F5"/>
        </w:tc>
        <w:tc>
          <w:tcPr>
            <w:tcW w:w="6000" w:type="dxa"/>
          </w:tcPr>
          <w:p w14:paraId="71E0EDE8" w14:textId="16AAE2F8" w:rsidR="00FD240C" w:rsidRDefault="00FD240C" w:rsidP="00FD240C">
            <w:pPr>
              <w:spacing w:after="160"/>
            </w:pPr>
            <w:r>
              <w:t>73 Dépenses de participations financières</w:t>
            </w:r>
          </w:p>
        </w:tc>
      </w:tr>
    </w:tbl>
    <w:p w14:paraId="3673A0DB" w14:textId="1DA50D24" w:rsidR="00FD240C" w:rsidRDefault="00FD240C" w:rsidP="00FD240C"/>
    <w:p w14:paraId="43959140" w14:textId="730871C1" w:rsidR="6AAEB316" w:rsidRDefault="2F90F8EF" w:rsidP="520A432B">
      <w:pPr>
        <w:rPr>
          <w:rFonts w:eastAsia="Source Sans Pro Light" w:cs="Source Sans Pro Light"/>
        </w:rPr>
      </w:pPr>
      <w:r w:rsidRPr="5274FF5C">
        <w:rPr>
          <w:b/>
        </w:rPr>
        <w:t>Nous collectons l’ensemble de ces données pour toutes les mesures relevant de notre périmètre</w:t>
      </w:r>
      <w:r>
        <w:t xml:space="preserve">. Compte tenu de la </w:t>
      </w:r>
      <w:r w:rsidR="3496BAD8">
        <w:t>quantité d’informations à collecter sur des documents en format PDF peu standardisés</w:t>
      </w:r>
      <w:r w:rsidR="24DEE428">
        <w:t xml:space="preserve"> (entre 300 et 350 lignes par année)</w:t>
      </w:r>
      <w:r w:rsidR="3496BAD8">
        <w:t>, nous n’avons réalisé cette collecte que pour les exercices 2018, 2021 (PAP et RAP), et 2024 (PAP uniquement).</w:t>
      </w:r>
      <w:r w:rsidR="3D89ED10">
        <w:t xml:space="preserve"> De plus, pour vérifier </w:t>
      </w:r>
      <w:r w:rsidR="19971D68">
        <w:t>l’absence d’erreur dans la collecte des montants</w:t>
      </w:r>
      <w:r w:rsidR="3D89ED10">
        <w:t xml:space="preserve">, nous réalisons des vérifications des montants totaux par missions, programmes et actions à l’aide des fichiers Excel </w:t>
      </w:r>
      <w:r w:rsidR="1D7B7266" w:rsidRPr="773BA9BE">
        <w:rPr>
          <w:rFonts w:eastAsia="Source Sans Pro Light" w:cs="Source Sans Pro Light"/>
        </w:rPr>
        <w:t>agrégés au niveau Action</w:t>
      </w:r>
      <w:r w:rsidR="1D7B7266">
        <w:t xml:space="preserve">, également </w:t>
      </w:r>
      <w:r w:rsidR="3D89ED10">
        <w:t xml:space="preserve">fournis sur le site </w:t>
      </w:r>
      <w:hyperlink r:id="rId20">
        <w:r w:rsidR="1A2B0DEE" w:rsidRPr="23D2BA7D">
          <w:rPr>
            <w:rStyle w:val="Lienhypertexte"/>
            <w:rFonts w:eastAsia="Source Sans Pro Light" w:cs="Source Sans Pro Light"/>
          </w:rPr>
          <w:t>budget.gouv.fr</w:t>
        </w:r>
      </w:hyperlink>
      <w:r w:rsidR="3D89ED10" w:rsidRPr="5FABAD27">
        <w:rPr>
          <w:rFonts w:eastAsia="Source Sans Pro Light" w:cs="Source Sans Pro Light"/>
        </w:rPr>
        <w:t>.</w:t>
      </w:r>
    </w:p>
    <w:p w14:paraId="5ECA759C" w14:textId="148DFD86" w:rsidR="76335A63" w:rsidRDefault="76335A63" w:rsidP="006558B9">
      <w:pPr>
        <w:pStyle w:val="Titre3"/>
      </w:pPr>
      <w:bookmarkStart w:id="110" w:name="_Toc177052098"/>
      <w:r>
        <w:t>Dépenses budgétaires de la sécurité sociale</w:t>
      </w:r>
      <w:bookmarkEnd w:id="110"/>
    </w:p>
    <w:p w14:paraId="24556DC0" w14:textId="227E32CA" w:rsidR="76335A63" w:rsidRDefault="76335A63" w:rsidP="520A432B">
      <w:r>
        <w:t>Nous n’avons identifié que les dépenses publiques liées à la restauration collective dans les hôpitaux comme élément</w:t>
      </w:r>
      <w:r w:rsidR="0012574A">
        <w:t>s</w:t>
      </w:r>
      <w:r>
        <w:t xml:space="preserve"> des dépenses budgétaires de la sécurité sociale relevant de notre périmètre. Celles-ci n’étant pas isolées dans les documents budgétaires de la sécurité sociale, nous nous sommes appuyés sur l’évaluation faite par le Conseil national de l’alimentation dans son étude de 2017 intitulée “Alimentation en milieu hospitalier” (p65). Celle-ci chiffrait à 1,25 milliards d’euros les dépenses alimentaires des hôpitaux en 2017. Nous y appliquons l’inflation jusqu’en 2024.</w:t>
      </w:r>
    </w:p>
    <w:p w14:paraId="19C7EA3C" w14:textId="0703C9D2" w:rsidR="520A432B" w:rsidRDefault="520A432B" w:rsidP="520A432B"/>
    <w:p w14:paraId="7D4B8A1E" w14:textId="2B351B8D" w:rsidR="2BE2CAD8" w:rsidRDefault="043156C1" w:rsidP="001B6CA9">
      <w:pPr>
        <w:pStyle w:val="Titre2"/>
      </w:pPr>
      <w:bookmarkStart w:id="111" w:name="_Ref164951482"/>
      <w:bookmarkStart w:id="112" w:name="_Toc177052099"/>
      <w:r>
        <w:t xml:space="preserve">Détail du </w:t>
      </w:r>
      <w:r w:rsidR="794CAA5B">
        <w:t xml:space="preserve">des missions et programmes </w:t>
      </w:r>
      <w:r w:rsidR="7734ED97">
        <w:t>du budget de l’</w:t>
      </w:r>
      <w:r w:rsidR="00594801">
        <w:t>État</w:t>
      </w:r>
      <w:r w:rsidR="7734ED97">
        <w:t xml:space="preserve"> </w:t>
      </w:r>
      <w:r w:rsidR="794CAA5B">
        <w:t>couverts</w:t>
      </w:r>
      <w:bookmarkEnd w:id="111"/>
      <w:bookmarkEnd w:id="112"/>
    </w:p>
    <w:p w14:paraId="18258045" w14:textId="2E41CA54" w:rsidR="02CE2203" w:rsidRDefault="02CE2203">
      <w:r>
        <w:lastRenderedPageBreak/>
        <w:t>Les dépenses budgétaires de l’</w:t>
      </w:r>
      <w:r w:rsidR="00594801">
        <w:t>État</w:t>
      </w:r>
      <w:r>
        <w:t xml:space="preserve"> comprennent </w:t>
      </w:r>
      <w:r w:rsidR="170C4B20">
        <w:t>à la fois les missions du</w:t>
      </w:r>
      <w:r>
        <w:t xml:space="preserve"> budget général et les Comptes d’affectation spéciaux (CAS). </w:t>
      </w:r>
      <w:r w:rsidR="3CEB6970">
        <w:t xml:space="preserve">D’après nos recherches, </w:t>
      </w:r>
      <w:r w:rsidR="0B0577ED">
        <w:t xml:space="preserve">les </w:t>
      </w:r>
      <w:r w:rsidR="3CEB6970">
        <w:t xml:space="preserve">10 missions du budget général et </w:t>
      </w:r>
      <w:r w:rsidR="3830E56D">
        <w:t xml:space="preserve">le </w:t>
      </w:r>
      <w:r w:rsidR="3CEB6970">
        <w:t xml:space="preserve">CAS </w:t>
      </w:r>
      <w:r w:rsidR="00B257B8">
        <w:t xml:space="preserve">listés ci-dessous </w:t>
      </w:r>
      <w:r w:rsidR="3CEB6970">
        <w:t xml:space="preserve">comprennent des crédits dédiés au système alimentaire.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940"/>
        <w:gridCol w:w="596"/>
        <w:gridCol w:w="5626"/>
      </w:tblGrid>
      <w:tr w:rsidR="520A432B" w14:paraId="1A4D3729" w14:textId="77777777" w:rsidTr="520A432B">
        <w:trPr>
          <w:trHeight w:val="300"/>
        </w:trPr>
        <w:tc>
          <w:tcPr>
            <w:tcW w:w="2940" w:type="dxa"/>
            <w:shd w:val="clear" w:color="auto" w:fill="000000" w:themeFill="text1"/>
            <w:tcMar>
              <w:top w:w="15" w:type="dxa"/>
              <w:left w:w="15" w:type="dxa"/>
              <w:right w:w="15" w:type="dxa"/>
            </w:tcMar>
          </w:tcPr>
          <w:p w14:paraId="460FF3F3" w14:textId="09E946AF" w:rsidR="222ECF7C" w:rsidRDefault="222ECF7C" w:rsidP="520A432B">
            <w:pPr>
              <w:jc w:val="left"/>
              <w:rPr>
                <w:rFonts w:eastAsia="Source Sans Pro Light" w:cs="Source Sans Pro Light"/>
                <w:color w:val="FFFFFF" w:themeColor="background1"/>
              </w:rPr>
            </w:pPr>
            <w:r w:rsidRPr="34834846">
              <w:rPr>
                <w:rFonts w:eastAsia="Source Sans Pro Light" w:cs="Source Sans Pro Light"/>
                <w:color w:val="FFFFFF" w:themeColor="background1"/>
              </w:rPr>
              <w:t>Missions</w:t>
            </w:r>
          </w:p>
        </w:tc>
        <w:tc>
          <w:tcPr>
            <w:tcW w:w="6222" w:type="dxa"/>
            <w:gridSpan w:val="2"/>
            <w:tcBorders>
              <w:bottom w:val="single" w:sz="8" w:space="0" w:color="000000" w:themeColor="text1"/>
            </w:tcBorders>
            <w:shd w:val="clear" w:color="auto" w:fill="000000" w:themeFill="text1"/>
            <w:tcMar>
              <w:top w:w="15" w:type="dxa"/>
              <w:left w:w="15" w:type="dxa"/>
              <w:right w:w="15" w:type="dxa"/>
            </w:tcMar>
          </w:tcPr>
          <w:p w14:paraId="55AF9D98" w14:textId="7E7A26EF" w:rsidR="222ECF7C" w:rsidRDefault="222ECF7C" w:rsidP="520A432B">
            <w:pPr>
              <w:jc w:val="left"/>
              <w:rPr>
                <w:rFonts w:eastAsia="Source Sans Pro Light" w:cs="Source Sans Pro Light"/>
                <w:color w:val="FFFFFF" w:themeColor="background1"/>
              </w:rPr>
            </w:pPr>
            <w:r w:rsidRPr="34834846">
              <w:rPr>
                <w:rFonts w:eastAsia="Source Sans Pro Light" w:cs="Source Sans Pro Light"/>
                <w:color w:val="FFFFFF" w:themeColor="background1"/>
              </w:rPr>
              <w:t>Programmes</w:t>
            </w:r>
          </w:p>
        </w:tc>
      </w:tr>
      <w:tr w:rsidR="520A432B" w14:paraId="2B8D2E26" w14:textId="77777777" w:rsidTr="520A432B">
        <w:trPr>
          <w:trHeight w:val="300"/>
        </w:trPr>
        <w:tc>
          <w:tcPr>
            <w:tcW w:w="2940" w:type="dxa"/>
            <w:vMerge w:val="restart"/>
            <w:tcBorders>
              <w:right w:val="single" w:sz="8" w:space="0" w:color="000000" w:themeColor="text1"/>
            </w:tcBorders>
            <w:tcMar>
              <w:top w:w="15" w:type="dxa"/>
              <w:left w:w="15" w:type="dxa"/>
              <w:right w:w="15" w:type="dxa"/>
            </w:tcMar>
          </w:tcPr>
          <w:p w14:paraId="5DEA59FD" w14:textId="2306EB0B"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Agriculture, alimentation, forêt et affaires rurales</w:t>
            </w:r>
            <w:r w:rsidR="265C3207" w:rsidRPr="34834846">
              <w:rPr>
                <w:rFonts w:eastAsia="Source Sans Pro Light" w:cs="Source Sans Pro Light"/>
                <w:color w:val="000000" w:themeColor="text1"/>
              </w:rPr>
              <w:t xml:space="preserve"> (AAFAR)</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24D43A64" w14:textId="147AF93B"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149</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5C22B92A" w14:textId="34390A6A"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Compétitivité et durabilité de l'agriculture, de l'agroalimentaire, de la forêt, de la pêche et de l'aquaculture</w:t>
            </w:r>
          </w:p>
        </w:tc>
      </w:tr>
      <w:tr w:rsidR="520A432B" w14:paraId="61B54142" w14:textId="77777777" w:rsidTr="34834846">
        <w:trPr>
          <w:trHeight w:val="300"/>
        </w:trPr>
        <w:tc>
          <w:tcPr>
            <w:tcW w:w="2940" w:type="dxa"/>
            <w:vMerge/>
            <w:vAlign w:val="center"/>
          </w:tcPr>
          <w:p w14:paraId="32CF2E2B"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2F463917" w14:textId="1D8A7811"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206</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6151B6FC" w14:textId="1AF85892"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Sécurité et qualité sanitaires de l'alimentation</w:t>
            </w:r>
          </w:p>
        </w:tc>
      </w:tr>
      <w:tr w:rsidR="520A432B" w14:paraId="04C2C59E" w14:textId="77777777" w:rsidTr="34834846">
        <w:trPr>
          <w:trHeight w:val="300"/>
        </w:trPr>
        <w:tc>
          <w:tcPr>
            <w:tcW w:w="2940" w:type="dxa"/>
            <w:vMerge/>
            <w:vAlign w:val="center"/>
          </w:tcPr>
          <w:p w14:paraId="6DE73351"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5BC83218" w14:textId="624585FD"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215</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5D9CB9C8" w14:textId="08D43636"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Conduite et pilotage des politiques de l'agriculture</w:t>
            </w:r>
          </w:p>
        </w:tc>
      </w:tr>
      <w:tr w:rsidR="520A432B" w14:paraId="2CA23194" w14:textId="77777777" w:rsidTr="520A432B">
        <w:trPr>
          <w:trHeight w:val="300"/>
        </w:trPr>
        <w:tc>
          <w:tcPr>
            <w:tcW w:w="2940" w:type="dxa"/>
            <w:vMerge w:val="restart"/>
            <w:tcBorders>
              <w:right w:val="single" w:sz="8" w:space="0" w:color="000000" w:themeColor="text1"/>
            </w:tcBorders>
            <w:tcMar>
              <w:top w:w="15" w:type="dxa"/>
              <w:left w:w="15" w:type="dxa"/>
              <w:right w:w="15" w:type="dxa"/>
            </w:tcMar>
          </w:tcPr>
          <w:p w14:paraId="116EA503" w14:textId="053CC2ED" w:rsidR="4CD6C3D7" w:rsidRDefault="4CD6C3D7"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 xml:space="preserve">Compte d’affectation spécial </w:t>
            </w:r>
            <w:r w:rsidR="520A432B" w:rsidRPr="34834846">
              <w:rPr>
                <w:rFonts w:eastAsia="Source Sans Pro Light" w:cs="Source Sans Pro Light"/>
                <w:color w:val="000000" w:themeColor="text1"/>
              </w:rPr>
              <w:t>Développement agricole et rural</w:t>
            </w:r>
            <w:r w:rsidR="7F997B4E" w:rsidRPr="34834846">
              <w:rPr>
                <w:rFonts w:eastAsia="Source Sans Pro Light" w:cs="Source Sans Pro Light"/>
                <w:color w:val="000000" w:themeColor="text1"/>
              </w:rPr>
              <w:t xml:space="preserve"> (CASDAR)</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4057759B" w14:textId="5E9C7889"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775</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475483B9" w14:textId="46704AB7"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Développement et transfert en agriculture</w:t>
            </w:r>
          </w:p>
        </w:tc>
      </w:tr>
      <w:tr w:rsidR="520A432B" w14:paraId="0F4B034F" w14:textId="77777777" w:rsidTr="34834846">
        <w:trPr>
          <w:trHeight w:val="300"/>
        </w:trPr>
        <w:tc>
          <w:tcPr>
            <w:tcW w:w="2940" w:type="dxa"/>
            <w:vMerge/>
            <w:vAlign w:val="center"/>
          </w:tcPr>
          <w:p w14:paraId="5CB62CBD"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237BEB62" w14:textId="0BAEBDB0"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776</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4A4D547F" w14:textId="4E4BD6E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Recherche appliquée et innovation en agriculture</w:t>
            </w:r>
          </w:p>
        </w:tc>
      </w:tr>
      <w:tr w:rsidR="520A432B" w14:paraId="1306CD62" w14:textId="77777777" w:rsidTr="520A432B">
        <w:trPr>
          <w:trHeight w:val="300"/>
        </w:trPr>
        <w:tc>
          <w:tcPr>
            <w:tcW w:w="2940" w:type="dxa"/>
            <w:tcBorders>
              <w:right w:val="single" w:sz="8" w:space="0" w:color="000000" w:themeColor="text1"/>
            </w:tcBorders>
            <w:tcMar>
              <w:top w:w="15" w:type="dxa"/>
              <w:left w:w="15" w:type="dxa"/>
              <w:right w:w="15" w:type="dxa"/>
            </w:tcMar>
          </w:tcPr>
          <w:p w14:paraId="740D270B" w14:textId="7674883F"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Défense</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5245B557" w14:textId="4B6994A2"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178</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437052F0" w14:textId="7A307AA5"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Préparation et emploi des forces</w:t>
            </w:r>
          </w:p>
        </w:tc>
      </w:tr>
      <w:tr w:rsidR="520A432B" w14:paraId="61A997FC" w14:textId="77777777" w:rsidTr="520A432B">
        <w:trPr>
          <w:trHeight w:val="300"/>
        </w:trPr>
        <w:tc>
          <w:tcPr>
            <w:tcW w:w="2940" w:type="dxa"/>
            <w:tcBorders>
              <w:right w:val="single" w:sz="8" w:space="0" w:color="000000" w:themeColor="text1"/>
            </w:tcBorders>
            <w:tcMar>
              <w:top w:w="15" w:type="dxa"/>
              <w:left w:w="15" w:type="dxa"/>
              <w:right w:w="15" w:type="dxa"/>
            </w:tcMar>
          </w:tcPr>
          <w:p w14:paraId="77F1FFDE" w14:textId="222B55C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Enseignement scolaire</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6A0713C7" w14:textId="439FF98A"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143</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2ADCE5D2" w14:textId="77CA7700"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Enseignement technique agricole</w:t>
            </w:r>
          </w:p>
        </w:tc>
      </w:tr>
      <w:tr w:rsidR="520A432B" w14:paraId="00EABDE5" w14:textId="77777777" w:rsidTr="520A432B">
        <w:trPr>
          <w:trHeight w:val="300"/>
        </w:trPr>
        <w:tc>
          <w:tcPr>
            <w:tcW w:w="2940" w:type="dxa"/>
            <w:vMerge w:val="restart"/>
            <w:tcBorders>
              <w:right w:val="single" w:sz="8" w:space="0" w:color="000000" w:themeColor="text1"/>
            </w:tcBorders>
            <w:tcMar>
              <w:top w:w="15" w:type="dxa"/>
              <w:left w:w="15" w:type="dxa"/>
              <w:right w:w="15" w:type="dxa"/>
            </w:tcMar>
          </w:tcPr>
          <w:p w14:paraId="6FC76BE6" w14:textId="6F8E11DB"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Recherche et enseignement supérieur</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4F4B12A7" w14:textId="03AD9E5D"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139</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4E2D1E62" w14:textId="1078758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Enseignement privé du premier et du second degrés</w:t>
            </w:r>
          </w:p>
        </w:tc>
      </w:tr>
      <w:tr w:rsidR="520A432B" w14:paraId="5D7E8B78" w14:textId="77777777" w:rsidTr="34834846">
        <w:trPr>
          <w:trHeight w:val="300"/>
        </w:trPr>
        <w:tc>
          <w:tcPr>
            <w:tcW w:w="2940" w:type="dxa"/>
            <w:vMerge/>
            <w:vAlign w:val="center"/>
          </w:tcPr>
          <w:p w14:paraId="497F774B"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5882BC08" w14:textId="7A9E76AE"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142</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5FD8B16C" w14:textId="59DCB008"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Enseignement supérieur et recherche agricoles</w:t>
            </w:r>
          </w:p>
        </w:tc>
      </w:tr>
      <w:tr w:rsidR="520A432B" w14:paraId="0545D6B2" w14:textId="77777777" w:rsidTr="34834846">
        <w:trPr>
          <w:trHeight w:val="300"/>
        </w:trPr>
        <w:tc>
          <w:tcPr>
            <w:tcW w:w="2940" w:type="dxa"/>
            <w:vMerge/>
            <w:vAlign w:val="center"/>
          </w:tcPr>
          <w:p w14:paraId="32B5BF52"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0F0D5E09" w14:textId="78E11859"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230</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66E1D6B5" w14:textId="4A26C870"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Vie de l'élève</w:t>
            </w:r>
          </w:p>
        </w:tc>
      </w:tr>
      <w:tr w:rsidR="520A432B" w14:paraId="64DA4179" w14:textId="77777777" w:rsidTr="34834846">
        <w:trPr>
          <w:trHeight w:val="300"/>
        </w:trPr>
        <w:tc>
          <w:tcPr>
            <w:tcW w:w="2940" w:type="dxa"/>
            <w:vMerge/>
            <w:vAlign w:val="center"/>
          </w:tcPr>
          <w:p w14:paraId="18CCDB7A" w14:textId="77777777" w:rsidR="008050C4" w:rsidRDefault="008050C4"/>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shd w:val="clear" w:color="auto" w:fill="FFFF00"/>
            <w:tcMar>
              <w:top w:w="15" w:type="dxa"/>
              <w:left w:w="15" w:type="dxa"/>
              <w:right w:w="15" w:type="dxa"/>
            </w:tcMar>
          </w:tcPr>
          <w:p w14:paraId="1D0505D9" w14:textId="46CA7185"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231</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tcPr>
          <w:p w14:paraId="04BEA4CC" w14:textId="5133D01F"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Vie étudiante</w:t>
            </w:r>
          </w:p>
        </w:tc>
      </w:tr>
      <w:tr w:rsidR="520A432B" w14:paraId="07A476CD" w14:textId="77777777" w:rsidTr="520A432B">
        <w:trPr>
          <w:trHeight w:val="300"/>
        </w:trPr>
        <w:tc>
          <w:tcPr>
            <w:tcW w:w="2940" w:type="dxa"/>
            <w:tcBorders>
              <w:right w:val="single" w:sz="8" w:space="0" w:color="000000" w:themeColor="text1"/>
            </w:tcBorders>
            <w:tcMar>
              <w:top w:w="15" w:type="dxa"/>
              <w:left w:w="15" w:type="dxa"/>
              <w:right w:w="15" w:type="dxa"/>
            </w:tcMar>
          </w:tcPr>
          <w:p w14:paraId="77551BF5" w14:textId="322E8D4E"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Investir pour la France de 2030</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34F6668B" w14:textId="5A8EE6B5"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422</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0C2CE905" w14:textId="65005D53"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Valorisation de la recherche</w:t>
            </w:r>
          </w:p>
        </w:tc>
      </w:tr>
      <w:tr w:rsidR="520A432B" w14:paraId="5EEDCB7B" w14:textId="77777777" w:rsidTr="520A432B">
        <w:trPr>
          <w:trHeight w:val="300"/>
        </w:trPr>
        <w:tc>
          <w:tcPr>
            <w:tcW w:w="2940" w:type="dxa"/>
            <w:tcBorders>
              <w:right w:val="single" w:sz="8" w:space="0" w:color="000000" w:themeColor="text1"/>
            </w:tcBorders>
            <w:tcMar>
              <w:top w:w="15" w:type="dxa"/>
              <w:left w:w="15" w:type="dxa"/>
              <w:right w:w="15" w:type="dxa"/>
            </w:tcMar>
          </w:tcPr>
          <w:p w14:paraId="18F2B2E1" w14:textId="23B458CE"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Justice</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0A165F5F" w14:textId="243AF96E"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107</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2EC31B42" w14:textId="61D2A897"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Administration pénitentiaire</w:t>
            </w:r>
          </w:p>
        </w:tc>
      </w:tr>
      <w:tr w:rsidR="520A432B" w14:paraId="39D6B5C1" w14:textId="77777777" w:rsidTr="520A432B">
        <w:trPr>
          <w:trHeight w:val="300"/>
        </w:trPr>
        <w:tc>
          <w:tcPr>
            <w:tcW w:w="2940" w:type="dxa"/>
            <w:tcBorders>
              <w:right w:val="single" w:sz="8" w:space="0" w:color="000000" w:themeColor="text1"/>
            </w:tcBorders>
            <w:tcMar>
              <w:top w:w="15" w:type="dxa"/>
              <w:left w:w="15" w:type="dxa"/>
              <w:right w:w="15" w:type="dxa"/>
            </w:tcMar>
          </w:tcPr>
          <w:p w14:paraId="79424434" w14:textId="5F4D9A8A"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Plan de relance</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27FB6802" w14:textId="70CDCF7A"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362</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0F8D35BB" w14:textId="3250724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Écologie</w:t>
            </w:r>
          </w:p>
        </w:tc>
      </w:tr>
      <w:tr w:rsidR="520A432B" w14:paraId="4C227856" w14:textId="77777777" w:rsidTr="520A432B">
        <w:trPr>
          <w:trHeight w:val="300"/>
        </w:trPr>
        <w:tc>
          <w:tcPr>
            <w:tcW w:w="2940" w:type="dxa"/>
            <w:tcBorders>
              <w:right w:val="single" w:sz="8" w:space="0" w:color="000000" w:themeColor="text1"/>
            </w:tcBorders>
            <w:tcMar>
              <w:top w:w="15" w:type="dxa"/>
              <w:left w:w="15" w:type="dxa"/>
              <w:right w:w="15" w:type="dxa"/>
            </w:tcMar>
          </w:tcPr>
          <w:p w14:paraId="665DA4D9" w14:textId="5FC7A76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Santé</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7A9E3EEF" w14:textId="6051A121"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204</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76118C30" w14:textId="52DADDD4"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Prévention, sécurité sanitaire et offre de soins</w:t>
            </w:r>
          </w:p>
        </w:tc>
      </w:tr>
      <w:tr w:rsidR="520A432B" w14:paraId="5D3A9651" w14:textId="77777777" w:rsidTr="520A432B">
        <w:trPr>
          <w:trHeight w:val="300"/>
        </w:trPr>
        <w:tc>
          <w:tcPr>
            <w:tcW w:w="2940" w:type="dxa"/>
            <w:tcBorders>
              <w:right w:val="single" w:sz="8" w:space="0" w:color="000000" w:themeColor="text1"/>
            </w:tcBorders>
            <w:tcMar>
              <w:top w:w="15" w:type="dxa"/>
              <w:left w:w="15" w:type="dxa"/>
              <w:right w:w="15" w:type="dxa"/>
            </w:tcMar>
          </w:tcPr>
          <w:p w14:paraId="3FE4824A" w14:textId="2D1569C9"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Solidarité, insertion et égalité des chances</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tcMar>
              <w:top w:w="15" w:type="dxa"/>
              <w:left w:w="15" w:type="dxa"/>
              <w:right w:w="15" w:type="dxa"/>
            </w:tcMar>
          </w:tcPr>
          <w:p w14:paraId="78522BCA" w14:textId="4CC7B649"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304</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tcMar>
              <w:top w:w="15" w:type="dxa"/>
              <w:left w:w="15" w:type="dxa"/>
              <w:right w:w="15" w:type="dxa"/>
            </w:tcMar>
          </w:tcPr>
          <w:p w14:paraId="2CD8C5C3" w14:textId="59101087"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Inclusion sociale et protection des personnes</w:t>
            </w:r>
          </w:p>
        </w:tc>
      </w:tr>
      <w:tr w:rsidR="520A432B" w14:paraId="002D4723" w14:textId="77777777" w:rsidTr="520A432B">
        <w:trPr>
          <w:trHeight w:val="300"/>
        </w:trPr>
        <w:tc>
          <w:tcPr>
            <w:tcW w:w="2940" w:type="dxa"/>
            <w:tcBorders>
              <w:right w:val="single" w:sz="8" w:space="0" w:color="000000" w:themeColor="text1"/>
            </w:tcBorders>
            <w:shd w:val="clear" w:color="auto" w:fill="FFFF00"/>
            <w:tcMar>
              <w:top w:w="15" w:type="dxa"/>
              <w:left w:w="15" w:type="dxa"/>
              <w:right w:w="15" w:type="dxa"/>
            </w:tcMar>
          </w:tcPr>
          <w:p w14:paraId="66DA6E4A" w14:textId="475F993B"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Plan d'urgence face à la crise sanitaire</w:t>
            </w:r>
          </w:p>
        </w:tc>
        <w:tc>
          <w:tcPr>
            <w:tcW w:w="596" w:type="dxa"/>
            <w:tcBorders>
              <w:top w:val="single" w:sz="8" w:space="0" w:color="000000" w:themeColor="text1"/>
              <w:left w:val="single" w:sz="8" w:space="0" w:color="000000" w:themeColor="text1"/>
              <w:bottom w:val="single" w:sz="8" w:space="0" w:color="000000" w:themeColor="text1"/>
              <w:right w:val="none" w:sz="8" w:space="0" w:color="000000" w:themeColor="text1"/>
            </w:tcBorders>
            <w:shd w:val="clear" w:color="auto" w:fill="FFFF00"/>
            <w:tcMar>
              <w:top w:w="15" w:type="dxa"/>
              <w:left w:w="15" w:type="dxa"/>
              <w:right w:w="15" w:type="dxa"/>
            </w:tcMar>
          </w:tcPr>
          <w:p w14:paraId="308DAEBE" w14:textId="44B2ECF5" w:rsidR="520A432B" w:rsidRDefault="520A432B" w:rsidP="520A432B">
            <w:pPr>
              <w:spacing w:after="0"/>
              <w:jc w:val="center"/>
              <w:rPr>
                <w:rFonts w:eastAsia="Source Sans Pro Light" w:cs="Source Sans Pro Light"/>
                <w:color w:val="000000" w:themeColor="text1"/>
              </w:rPr>
            </w:pPr>
            <w:r w:rsidRPr="34834846">
              <w:rPr>
                <w:rFonts w:eastAsia="Source Sans Pro Light" w:cs="Source Sans Pro Light"/>
                <w:color w:val="000000" w:themeColor="text1"/>
              </w:rPr>
              <w:t>C</w:t>
            </w:r>
          </w:p>
        </w:tc>
        <w:tc>
          <w:tcPr>
            <w:tcW w:w="5626" w:type="dxa"/>
            <w:tcBorders>
              <w:top w:val="single" w:sz="8" w:space="0" w:color="000000" w:themeColor="text1"/>
              <w:left w:val="non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tcPr>
          <w:p w14:paraId="321B9664" w14:textId="555BFFA1" w:rsidR="520A432B" w:rsidRDefault="520A432B" w:rsidP="520A432B">
            <w:pPr>
              <w:spacing w:after="0"/>
              <w:jc w:val="left"/>
              <w:rPr>
                <w:rFonts w:eastAsia="Source Sans Pro Light" w:cs="Source Sans Pro Light"/>
                <w:color w:val="000000" w:themeColor="text1"/>
              </w:rPr>
            </w:pPr>
            <w:r w:rsidRPr="34834846">
              <w:rPr>
                <w:rFonts w:eastAsia="Source Sans Pro Light" w:cs="Source Sans Pro Light"/>
                <w:color w:val="000000" w:themeColor="text1"/>
              </w:rPr>
              <w:t xml:space="preserve">Aides liées au </w:t>
            </w:r>
            <w:r w:rsidR="00DC15B9">
              <w:rPr>
                <w:rFonts w:eastAsia="Source Sans Pro Light" w:cs="Source Sans Pro Light"/>
                <w:color w:val="000000" w:themeColor="text1"/>
              </w:rPr>
              <w:t>COVID</w:t>
            </w:r>
          </w:p>
        </w:tc>
      </w:tr>
    </w:tbl>
    <w:p w14:paraId="561C6397" w14:textId="5CB67CCC" w:rsidR="1345D9E8" w:rsidRDefault="1345D9E8" w:rsidP="520A432B"/>
    <w:p w14:paraId="70B8E060" w14:textId="4B22F4CE" w:rsidR="3C54C701" w:rsidRDefault="3C54C701" w:rsidP="520A432B">
      <w:r>
        <w:t xml:space="preserve">Nous avons appliqué la méthode de collecte </w:t>
      </w:r>
      <w:r w:rsidR="3CB7B0DC">
        <w:t xml:space="preserve">classique </w:t>
      </w:r>
      <w:r>
        <w:t>des données brutes et de codage ana</w:t>
      </w:r>
      <w:r w:rsidR="0B89AA0F">
        <w:t>l</w:t>
      </w:r>
      <w:r>
        <w:t>ytique présentées dans l</w:t>
      </w:r>
      <w:r w:rsidR="007B16D9">
        <w:t xml:space="preserve">es </w:t>
      </w:r>
      <w:r>
        <w:t>partie</w:t>
      </w:r>
      <w:r w:rsidR="007B16D9">
        <w:t xml:space="preserve">s </w:t>
      </w:r>
      <w:r w:rsidR="007B16D9">
        <w:fldChar w:fldCharType="begin"/>
      </w:r>
      <w:r w:rsidR="007B16D9">
        <w:instrText xml:space="preserve"> REF _Ref164952211 \r \h </w:instrText>
      </w:r>
      <w:r w:rsidR="007B16D9">
        <w:fldChar w:fldCharType="separate"/>
      </w:r>
      <w:r w:rsidR="007B16D9">
        <w:t>3</w:t>
      </w:r>
      <w:r w:rsidR="007B16D9">
        <w:fldChar w:fldCharType="end"/>
      </w:r>
      <w:r w:rsidR="007B16D9">
        <w:t xml:space="preserve"> et </w:t>
      </w:r>
      <w:r w:rsidR="007B16D9">
        <w:fldChar w:fldCharType="begin"/>
      </w:r>
      <w:r w:rsidR="007B16D9">
        <w:instrText xml:space="preserve"> REF _Ref164952218 \r \h </w:instrText>
      </w:r>
      <w:r w:rsidR="007B16D9">
        <w:fldChar w:fldCharType="separate"/>
      </w:r>
      <w:r w:rsidR="007B16D9">
        <w:t>4</w:t>
      </w:r>
      <w:r w:rsidR="007B16D9">
        <w:fldChar w:fldCharType="end"/>
      </w:r>
      <w:r w:rsidR="6953B6CF">
        <w:t xml:space="preserve">, à l’exception des aides </w:t>
      </w:r>
      <w:r w:rsidR="00DC15B9">
        <w:t>COVID</w:t>
      </w:r>
      <w:r w:rsidR="6953B6CF">
        <w:t xml:space="preserve"> de 2021 et des dépenses de restauration collective universitaire, dont les montants fournis dans les documents PAP ne permettaient pas d’isoler la part </w:t>
      </w:r>
      <w:r w:rsidR="74F5FFA9">
        <w:t>dédiée au système alimentaire.</w:t>
      </w:r>
    </w:p>
    <w:p w14:paraId="777D6E6D" w14:textId="7F3E7343" w:rsidR="520A432B" w:rsidRDefault="520A432B" w:rsidP="520A432B"/>
    <w:p w14:paraId="6D1C548D" w14:textId="12E484FE" w:rsidR="435D61A1" w:rsidRDefault="435D61A1" w:rsidP="006558B9">
      <w:pPr>
        <w:pStyle w:val="Titre3"/>
      </w:pPr>
      <w:bookmarkStart w:id="113" w:name="_Toc177052100"/>
      <w:r>
        <w:t xml:space="preserve">Exception des aides </w:t>
      </w:r>
      <w:r w:rsidR="00DC15B9">
        <w:t>COVID</w:t>
      </w:r>
      <w:r>
        <w:t xml:space="preserve"> de 2021</w:t>
      </w:r>
      <w:bookmarkEnd w:id="113"/>
    </w:p>
    <w:p w14:paraId="50B26BBB" w14:textId="7F8D452E" w:rsidR="6CDA678E" w:rsidRDefault="6CDA678E" w:rsidP="520A432B">
      <w:r>
        <w:t xml:space="preserve">En effet, les crédits de la mission “Plan d’urgence face à la crise sanitaire” ne sont pas ventilés par secteurs d’activité dans les PAP et RAP 2021. </w:t>
      </w:r>
      <w:r w:rsidR="046B28F5">
        <w:t>Nous nous sommes donc basés sur les données de l’enquête ESANE</w:t>
      </w:r>
      <w:r w:rsidR="3DEB2A2C">
        <w:t xml:space="preserve"> de l’Insee</w:t>
      </w:r>
      <w:r w:rsidR="046B28F5">
        <w:t>, qui fournit chaque année les montants de “subventions d’exploitation” perçus par secteurs d’activité</w:t>
      </w:r>
      <w:r w:rsidR="5DACC583">
        <w:t xml:space="preserve"> (code NAF niveau 2). </w:t>
      </w:r>
    </w:p>
    <w:p w14:paraId="17124C16" w14:textId="56BC6DF2" w:rsidR="1378D94C" w:rsidRDefault="6880299F">
      <w:r>
        <w:t xml:space="preserve">Nous collectons donc les “subventions d'exploitation” perçues par chacun des secteurs identifiés comme correspondant à </w:t>
      </w:r>
      <w:r w:rsidR="6445EECA">
        <w:t>nos bénéficiaires du système alimentaires pour les années 2021 et 2018, et réalisons la soustraction des deux années (cf</w:t>
      </w:r>
      <w:r w:rsidR="00DC15B9">
        <w:t>.</w:t>
      </w:r>
      <w:r w:rsidR="6445EECA">
        <w:t xml:space="preserve"> tableau ci-dessous). Nous considérons que cette différence correspond aux soutiens liés au </w:t>
      </w:r>
      <w:r w:rsidR="00DC15B9">
        <w:t>COVID</w:t>
      </w:r>
      <w:r w:rsidR="6445EECA">
        <w:t>-19</w:t>
      </w:r>
      <w:r w:rsidR="31613E52">
        <w:t xml:space="preserve">. </w:t>
      </w:r>
    </w:p>
    <w:p w14:paraId="0D7A2F59" w14:textId="3AC46289" w:rsidR="1378D94C" w:rsidRDefault="31613E52">
      <w:r>
        <w:lastRenderedPageBreak/>
        <w:t>Deux exceptions cependant : le montant dédié aux industries de protection des végétaux, et celui dédié aux soins vétérinaires</w:t>
      </w:r>
      <w:r w:rsidR="490D340A">
        <w:t>. Nous n’avons pas retenu ces montants, car le premier est trop faible pour être interprété, et le second</w:t>
      </w:r>
      <w:r>
        <w:t xml:space="preserve"> </w:t>
      </w:r>
      <w:r w:rsidR="574054D4">
        <w:t xml:space="preserve">est </w:t>
      </w:r>
      <w:r>
        <w:t>probablement en tr</w:t>
      </w:r>
      <w:r w:rsidR="50BDDDF0">
        <w:t xml:space="preserve">ès grande partie voire </w:t>
      </w:r>
      <w:r w:rsidR="7E4F2B7E">
        <w:t xml:space="preserve">en </w:t>
      </w:r>
      <w:r w:rsidR="50BDDDF0">
        <w:t>totalité lié à la mobilisation des vétérinaires pour l</w:t>
      </w:r>
      <w:r w:rsidR="33E2B2C1">
        <w:t>’analyse d</w:t>
      </w:r>
      <w:r w:rsidR="50BDDDF0">
        <w:t xml:space="preserve">es tests </w:t>
      </w:r>
      <w:r w:rsidR="00DC15B9">
        <w:t>COVID</w:t>
      </w:r>
      <w:r w:rsidR="50BDDDF0">
        <w:t xml:space="preserve"> </w:t>
      </w:r>
      <w:r w:rsidR="11A9484A">
        <w:t xml:space="preserve">(non lié au système alimentaire) </w:t>
      </w:r>
      <w:r w:rsidR="50BDDDF0">
        <w:t>et non pour l</w:t>
      </w:r>
      <w:r w:rsidR="0273F828">
        <w:t>a compensation de leur chiffre d’affaires</w:t>
      </w:r>
      <w:r w:rsidR="50BDDDF0">
        <w:t xml:space="preserve"> de vétérinaires. </w:t>
      </w:r>
    </w:p>
    <w:p w14:paraId="29D6C443" w14:textId="3BEBCBAD" w:rsidR="66EAB232" w:rsidRDefault="3312E1D0" w:rsidP="66EAB232">
      <w:r>
        <w:t xml:space="preserve">Somme des “subventions d'exploitation” (millions d'euros) </w:t>
      </w:r>
      <w:r w:rsidR="63F04DAA">
        <w:t>proratisées</w:t>
      </w:r>
      <w:r>
        <w:t xml:space="preserve"> par bénéficiaires :</w:t>
      </w:r>
    </w:p>
    <w:tbl>
      <w:tblPr>
        <w:tblW w:w="906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650"/>
        <w:gridCol w:w="1935"/>
        <w:gridCol w:w="1828"/>
        <w:gridCol w:w="1828"/>
        <w:gridCol w:w="1828"/>
      </w:tblGrid>
      <w:tr w:rsidR="00A92FDA" w14:paraId="75D00A2C" w14:textId="77777777" w:rsidTr="7119BBEE">
        <w:trPr>
          <w:trHeight w:val="300"/>
        </w:trPr>
        <w:tc>
          <w:tcPr>
            <w:tcW w:w="1650" w:type="dxa"/>
            <w:shd w:val="clear" w:color="auto" w:fill="000000" w:themeFill="text1"/>
            <w:tcMar>
              <w:top w:w="15" w:type="dxa"/>
              <w:left w:w="15" w:type="dxa"/>
              <w:right w:w="15" w:type="dxa"/>
            </w:tcMar>
          </w:tcPr>
          <w:p w14:paraId="2DACF9CA" w14:textId="3273D8C5" w:rsidR="17C28F62" w:rsidRDefault="17C28F62" w:rsidP="6A0A5987">
            <w:pPr>
              <w:spacing w:after="0"/>
              <w:jc w:val="left"/>
              <w:rPr>
                <w:rFonts w:eastAsia="Source Sans Pro Light" w:cs="Source Sans Pro Light"/>
                <w:color w:val="FFFFFF" w:themeColor="background1"/>
              </w:rPr>
            </w:pPr>
            <w:r w:rsidRPr="2B26B9C4">
              <w:rPr>
                <w:rFonts w:eastAsia="Source Sans Pro Light" w:cs="Source Sans Pro Light"/>
                <w:color w:val="FFFFFF" w:themeColor="background1"/>
              </w:rPr>
              <w:t>Bénéficiaire niv1</w:t>
            </w:r>
          </w:p>
        </w:tc>
        <w:tc>
          <w:tcPr>
            <w:tcW w:w="1935" w:type="dxa"/>
            <w:shd w:val="clear" w:color="auto" w:fill="000000" w:themeFill="text1"/>
            <w:tcMar>
              <w:top w:w="15" w:type="dxa"/>
              <w:left w:w="15" w:type="dxa"/>
              <w:right w:w="15" w:type="dxa"/>
            </w:tcMar>
          </w:tcPr>
          <w:p w14:paraId="3867A5CF" w14:textId="34732458" w:rsidR="17C28F62" w:rsidRDefault="17C28F62" w:rsidP="6A0A5987">
            <w:pPr>
              <w:spacing w:after="0"/>
              <w:jc w:val="left"/>
              <w:rPr>
                <w:rFonts w:eastAsia="Source Sans Pro Light" w:cs="Source Sans Pro Light"/>
                <w:color w:val="FFFFFF" w:themeColor="background1"/>
              </w:rPr>
            </w:pPr>
            <w:r w:rsidRPr="2B26B9C4">
              <w:rPr>
                <w:rFonts w:eastAsia="Source Sans Pro Light" w:cs="Source Sans Pro Light"/>
                <w:color w:val="FFFFFF" w:themeColor="background1"/>
              </w:rPr>
              <w:t>Bénéficiaire niv2</w:t>
            </w:r>
          </w:p>
        </w:tc>
        <w:tc>
          <w:tcPr>
            <w:tcW w:w="1828" w:type="dxa"/>
            <w:shd w:val="clear" w:color="auto" w:fill="000000" w:themeFill="text1"/>
            <w:tcMar>
              <w:top w:w="15" w:type="dxa"/>
              <w:left w:w="15" w:type="dxa"/>
              <w:right w:w="15" w:type="dxa"/>
            </w:tcMar>
          </w:tcPr>
          <w:p w14:paraId="2F6B6606" w14:textId="6C89814C" w:rsidR="17C28F62" w:rsidRDefault="17C28F62" w:rsidP="5ED18CA4">
            <w:pPr>
              <w:spacing w:after="0"/>
              <w:jc w:val="center"/>
              <w:rPr>
                <w:rFonts w:eastAsia="Source Sans Pro Light" w:cs="Source Sans Pro Light"/>
                <w:color w:val="FFFFFF" w:themeColor="background1"/>
              </w:rPr>
            </w:pPr>
            <w:r w:rsidRPr="2B26B9C4">
              <w:rPr>
                <w:rFonts w:eastAsia="Source Sans Pro Light" w:cs="Source Sans Pro Light"/>
                <w:color w:val="FFFFFF" w:themeColor="background1"/>
              </w:rPr>
              <w:t>2018</w:t>
            </w:r>
          </w:p>
        </w:tc>
        <w:tc>
          <w:tcPr>
            <w:tcW w:w="1828" w:type="dxa"/>
            <w:shd w:val="clear" w:color="auto" w:fill="000000" w:themeFill="text1"/>
            <w:tcMar>
              <w:top w:w="15" w:type="dxa"/>
              <w:left w:w="15" w:type="dxa"/>
              <w:right w:w="15" w:type="dxa"/>
            </w:tcMar>
          </w:tcPr>
          <w:p w14:paraId="48BACCE7" w14:textId="63A6C092" w:rsidR="17C28F62" w:rsidRDefault="17C28F62" w:rsidP="5ED18CA4">
            <w:pPr>
              <w:spacing w:after="0"/>
              <w:jc w:val="center"/>
              <w:rPr>
                <w:rFonts w:eastAsia="Source Sans Pro Light" w:cs="Source Sans Pro Light"/>
                <w:color w:val="FFFFFF" w:themeColor="background1"/>
              </w:rPr>
            </w:pPr>
            <w:r w:rsidRPr="2B26B9C4">
              <w:rPr>
                <w:rFonts w:eastAsia="Source Sans Pro Light" w:cs="Source Sans Pro Light"/>
                <w:color w:val="FFFFFF" w:themeColor="background1"/>
              </w:rPr>
              <w:t>2021</w:t>
            </w:r>
          </w:p>
        </w:tc>
        <w:tc>
          <w:tcPr>
            <w:tcW w:w="1828" w:type="dxa"/>
            <w:shd w:val="clear" w:color="auto" w:fill="000000" w:themeFill="text1"/>
            <w:tcMar>
              <w:top w:w="15" w:type="dxa"/>
              <w:left w:w="15" w:type="dxa"/>
              <w:right w:w="15" w:type="dxa"/>
            </w:tcMar>
          </w:tcPr>
          <w:p w14:paraId="060EE797" w14:textId="2E9C76F1" w:rsidR="17C28F62" w:rsidRDefault="17C28F62" w:rsidP="5ED18CA4">
            <w:pPr>
              <w:spacing w:after="0"/>
              <w:jc w:val="center"/>
              <w:rPr>
                <w:rFonts w:eastAsia="Source Sans Pro Light" w:cs="Source Sans Pro Light"/>
                <w:color w:val="FFFFFF" w:themeColor="background1"/>
              </w:rPr>
            </w:pPr>
            <w:r w:rsidRPr="2B26B9C4">
              <w:rPr>
                <w:rFonts w:eastAsia="Source Sans Pro Light" w:cs="Source Sans Pro Light"/>
                <w:color w:val="FFFFFF" w:themeColor="background1"/>
              </w:rPr>
              <w:t>2021-2018</w:t>
            </w:r>
          </w:p>
        </w:tc>
      </w:tr>
      <w:tr w:rsidR="17C28F62" w14:paraId="79058E70" w14:textId="77777777" w:rsidTr="5ED18CA4">
        <w:trPr>
          <w:trHeight w:val="300"/>
        </w:trPr>
        <w:tc>
          <w:tcPr>
            <w:tcW w:w="1650" w:type="dxa"/>
            <w:shd w:val="clear" w:color="auto" w:fill="ECECEC" w:themeFill="background2"/>
            <w:tcMar>
              <w:top w:w="15" w:type="dxa"/>
              <w:left w:w="15" w:type="dxa"/>
              <w:right w:w="15" w:type="dxa"/>
            </w:tcMar>
          </w:tcPr>
          <w:p w14:paraId="358BCC23" w14:textId="20BB52B4"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PRODINTR</w:t>
            </w:r>
          </w:p>
        </w:tc>
        <w:tc>
          <w:tcPr>
            <w:tcW w:w="1935" w:type="dxa"/>
            <w:shd w:val="clear" w:color="auto" w:fill="ECECEC" w:themeFill="background2"/>
            <w:tcMar>
              <w:top w:w="15" w:type="dxa"/>
              <w:left w:w="15" w:type="dxa"/>
              <w:right w:w="15" w:type="dxa"/>
            </w:tcMar>
          </w:tcPr>
          <w:p w14:paraId="1AC4197A" w14:textId="4CD5E295"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 xml:space="preserve">PROTECVEGE </w:t>
            </w:r>
          </w:p>
        </w:tc>
        <w:tc>
          <w:tcPr>
            <w:tcW w:w="1828" w:type="dxa"/>
            <w:shd w:val="clear" w:color="auto" w:fill="ECECEC" w:themeFill="background2"/>
            <w:tcMar>
              <w:top w:w="15" w:type="dxa"/>
              <w:left w:w="15" w:type="dxa"/>
              <w:right w:w="15" w:type="dxa"/>
            </w:tcMar>
          </w:tcPr>
          <w:p w14:paraId="3775403A" w14:textId="7163FC01"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0,6</w:t>
            </w:r>
          </w:p>
        </w:tc>
        <w:tc>
          <w:tcPr>
            <w:tcW w:w="1828" w:type="dxa"/>
            <w:shd w:val="clear" w:color="auto" w:fill="ECECEC" w:themeFill="background2"/>
            <w:tcMar>
              <w:top w:w="15" w:type="dxa"/>
              <w:left w:w="15" w:type="dxa"/>
              <w:right w:w="15" w:type="dxa"/>
            </w:tcMar>
          </w:tcPr>
          <w:p w14:paraId="5157F314" w14:textId="6FCB58B3"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0,9</w:t>
            </w:r>
          </w:p>
        </w:tc>
        <w:tc>
          <w:tcPr>
            <w:tcW w:w="1828" w:type="dxa"/>
            <w:shd w:val="clear" w:color="auto" w:fill="ECECEC" w:themeFill="background2"/>
            <w:tcMar>
              <w:top w:w="15" w:type="dxa"/>
              <w:left w:w="15" w:type="dxa"/>
              <w:right w:w="15" w:type="dxa"/>
            </w:tcMar>
          </w:tcPr>
          <w:p w14:paraId="73B168A4" w14:textId="23E4BA8F"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0,3</w:t>
            </w:r>
          </w:p>
        </w:tc>
      </w:tr>
      <w:tr w:rsidR="17C28F62" w14:paraId="0F020008" w14:textId="77777777" w:rsidTr="5ED18CA4">
        <w:trPr>
          <w:trHeight w:val="300"/>
        </w:trPr>
        <w:tc>
          <w:tcPr>
            <w:tcW w:w="1650" w:type="dxa"/>
            <w:shd w:val="clear" w:color="auto" w:fill="ECECEC" w:themeFill="background2"/>
            <w:tcMar>
              <w:top w:w="15" w:type="dxa"/>
              <w:left w:w="15" w:type="dxa"/>
              <w:right w:w="15" w:type="dxa"/>
            </w:tcMar>
          </w:tcPr>
          <w:p w14:paraId="57E51A66" w14:textId="35BC28BF"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PRODINTR</w:t>
            </w:r>
          </w:p>
        </w:tc>
        <w:tc>
          <w:tcPr>
            <w:tcW w:w="1935" w:type="dxa"/>
            <w:shd w:val="clear" w:color="auto" w:fill="ECECEC" w:themeFill="background2"/>
            <w:tcMar>
              <w:top w:w="15" w:type="dxa"/>
              <w:left w:w="15" w:type="dxa"/>
              <w:right w:w="15" w:type="dxa"/>
            </w:tcMar>
          </w:tcPr>
          <w:p w14:paraId="03594CD8" w14:textId="150053DA"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VETERIN</w:t>
            </w:r>
          </w:p>
        </w:tc>
        <w:tc>
          <w:tcPr>
            <w:tcW w:w="1828" w:type="dxa"/>
            <w:shd w:val="clear" w:color="auto" w:fill="ECECEC" w:themeFill="background2"/>
            <w:tcMar>
              <w:top w:w="15" w:type="dxa"/>
              <w:left w:w="15" w:type="dxa"/>
              <w:right w:w="15" w:type="dxa"/>
            </w:tcMar>
          </w:tcPr>
          <w:p w14:paraId="20086B05" w14:textId="28C8D5B4"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0,5</w:t>
            </w:r>
          </w:p>
        </w:tc>
        <w:tc>
          <w:tcPr>
            <w:tcW w:w="1828" w:type="dxa"/>
            <w:shd w:val="clear" w:color="auto" w:fill="ECECEC" w:themeFill="background2"/>
            <w:tcMar>
              <w:top w:w="15" w:type="dxa"/>
              <w:left w:w="15" w:type="dxa"/>
              <w:right w:w="15" w:type="dxa"/>
            </w:tcMar>
          </w:tcPr>
          <w:p w14:paraId="17A6E11C" w14:textId="7BDBD00F"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587,0</w:t>
            </w:r>
          </w:p>
        </w:tc>
        <w:tc>
          <w:tcPr>
            <w:tcW w:w="1828" w:type="dxa"/>
            <w:shd w:val="clear" w:color="auto" w:fill="ECECEC" w:themeFill="background2"/>
            <w:tcMar>
              <w:top w:w="15" w:type="dxa"/>
              <w:left w:w="15" w:type="dxa"/>
              <w:right w:w="15" w:type="dxa"/>
            </w:tcMar>
          </w:tcPr>
          <w:p w14:paraId="69894764" w14:textId="671BFE0C"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586,6</w:t>
            </w:r>
          </w:p>
        </w:tc>
      </w:tr>
      <w:tr w:rsidR="17C28F62" w14:paraId="25C3A0A8" w14:textId="77777777" w:rsidTr="7119BBEE">
        <w:trPr>
          <w:trHeight w:val="300"/>
        </w:trPr>
        <w:tc>
          <w:tcPr>
            <w:tcW w:w="1650" w:type="dxa"/>
            <w:tcMar>
              <w:top w:w="15" w:type="dxa"/>
              <w:left w:w="15" w:type="dxa"/>
              <w:right w:w="15" w:type="dxa"/>
            </w:tcMar>
          </w:tcPr>
          <w:p w14:paraId="67B37706" w14:textId="1767642C"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TRANSFO</w:t>
            </w:r>
          </w:p>
        </w:tc>
        <w:tc>
          <w:tcPr>
            <w:tcW w:w="1935" w:type="dxa"/>
            <w:tcMar>
              <w:top w:w="15" w:type="dxa"/>
              <w:left w:w="15" w:type="dxa"/>
              <w:right w:w="15" w:type="dxa"/>
            </w:tcMar>
          </w:tcPr>
          <w:p w14:paraId="707A96AE" w14:textId="0B49958E"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MIXTE</w:t>
            </w:r>
          </w:p>
        </w:tc>
        <w:tc>
          <w:tcPr>
            <w:tcW w:w="1828" w:type="dxa"/>
            <w:tcMar>
              <w:top w:w="15" w:type="dxa"/>
              <w:left w:w="15" w:type="dxa"/>
              <w:right w:w="15" w:type="dxa"/>
            </w:tcMar>
          </w:tcPr>
          <w:p w14:paraId="51AEFFD1" w14:textId="687578B5"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491,4</w:t>
            </w:r>
          </w:p>
        </w:tc>
        <w:tc>
          <w:tcPr>
            <w:tcW w:w="1828" w:type="dxa"/>
            <w:tcMar>
              <w:top w:w="15" w:type="dxa"/>
              <w:left w:w="15" w:type="dxa"/>
              <w:right w:w="15" w:type="dxa"/>
            </w:tcMar>
          </w:tcPr>
          <w:p w14:paraId="2C9BECF6" w14:textId="1AE3661D"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1 451,4</w:t>
            </w:r>
          </w:p>
        </w:tc>
        <w:tc>
          <w:tcPr>
            <w:tcW w:w="1828" w:type="dxa"/>
            <w:tcMar>
              <w:top w:w="15" w:type="dxa"/>
              <w:left w:w="15" w:type="dxa"/>
              <w:right w:w="15" w:type="dxa"/>
            </w:tcMar>
          </w:tcPr>
          <w:p w14:paraId="4087F890" w14:textId="7773D1B5"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959,9</w:t>
            </w:r>
          </w:p>
        </w:tc>
      </w:tr>
      <w:tr w:rsidR="17C28F62" w14:paraId="0A46E441" w14:textId="77777777" w:rsidTr="7119BBEE">
        <w:trPr>
          <w:trHeight w:val="300"/>
        </w:trPr>
        <w:tc>
          <w:tcPr>
            <w:tcW w:w="1650" w:type="dxa"/>
            <w:tcMar>
              <w:top w:w="15" w:type="dxa"/>
              <w:left w:w="15" w:type="dxa"/>
              <w:right w:w="15" w:type="dxa"/>
            </w:tcMar>
          </w:tcPr>
          <w:p w14:paraId="1941E936" w14:textId="6FB703BC"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DISTRIB</w:t>
            </w:r>
          </w:p>
        </w:tc>
        <w:tc>
          <w:tcPr>
            <w:tcW w:w="1935" w:type="dxa"/>
            <w:tcMar>
              <w:top w:w="15" w:type="dxa"/>
              <w:left w:w="15" w:type="dxa"/>
              <w:right w:w="15" w:type="dxa"/>
            </w:tcMar>
          </w:tcPr>
          <w:p w14:paraId="66F723EC" w14:textId="0F747000"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VENTDET</w:t>
            </w:r>
          </w:p>
        </w:tc>
        <w:tc>
          <w:tcPr>
            <w:tcW w:w="1828" w:type="dxa"/>
            <w:tcMar>
              <w:top w:w="15" w:type="dxa"/>
              <w:left w:w="15" w:type="dxa"/>
              <w:right w:w="15" w:type="dxa"/>
            </w:tcMar>
          </w:tcPr>
          <w:p w14:paraId="761DE9F0" w14:textId="35C32204"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157,3</w:t>
            </w:r>
          </w:p>
        </w:tc>
        <w:tc>
          <w:tcPr>
            <w:tcW w:w="1828" w:type="dxa"/>
            <w:tcMar>
              <w:top w:w="15" w:type="dxa"/>
              <w:left w:w="15" w:type="dxa"/>
              <w:right w:w="15" w:type="dxa"/>
            </w:tcMar>
          </w:tcPr>
          <w:p w14:paraId="21BFA6CB" w14:textId="145C8996"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718,2</w:t>
            </w:r>
          </w:p>
        </w:tc>
        <w:tc>
          <w:tcPr>
            <w:tcW w:w="1828" w:type="dxa"/>
            <w:tcMar>
              <w:top w:w="15" w:type="dxa"/>
              <w:left w:w="15" w:type="dxa"/>
              <w:right w:w="15" w:type="dxa"/>
            </w:tcMar>
          </w:tcPr>
          <w:p w14:paraId="5322422A" w14:textId="437C2A34"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560,9</w:t>
            </w:r>
          </w:p>
        </w:tc>
      </w:tr>
      <w:tr w:rsidR="17C28F62" w14:paraId="034A225A" w14:textId="77777777" w:rsidTr="7119BBEE">
        <w:trPr>
          <w:trHeight w:val="300"/>
        </w:trPr>
        <w:tc>
          <w:tcPr>
            <w:tcW w:w="1650" w:type="dxa"/>
            <w:tcMar>
              <w:top w:w="15" w:type="dxa"/>
              <w:left w:w="15" w:type="dxa"/>
              <w:right w:w="15" w:type="dxa"/>
            </w:tcMar>
          </w:tcPr>
          <w:p w14:paraId="74091359" w14:textId="189E48E9"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RHD</w:t>
            </w:r>
          </w:p>
        </w:tc>
        <w:tc>
          <w:tcPr>
            <w:tcW w:w="1935" w:type="dxa"/>
            <w:tcMar>
              <w:top w:w="15" w:type="dxa"/>
              <w:left w:w="15" w:type="dxa"/>
              <w:right w:w="15" w:type="dxa"/>
            </w:tcMar>
          </w:tcPr>
          <w:p w14:paraId="35D9CA57" w14:textId="1B1BF502" w:rsidR="17C28F62" w:rsidRDefault="17C28F62" w:rsidP="6A0A5987">
            <w:pPr>
              <w:spacing w:after="0"/>
              <w:jc w:val="left"/>
              <w:rPr>
                <w:rFonts w:eastAsia="Source Sans Pro Light" w:cs="Source Sans Pro Light"/>
                <w:color w:val="000000" w:themeColor="text1"/>
              </w:rPr>
            </w:pPr>
            <w:r w:rsidRPr="0580B90C">
              <w:rPr>
                <w:rFonts w:eastAsia="Source Sans Pro Light" w:cs="Source Sans Pro Light"/>
                <w:color w:val="000000" w:themeColor="text1"/>
              </w:rPr>
              <w:t>RESTOCOM</w:t>
            </w:r>
          </w:p>
        </w:tc>
        <w:tc>
          <w:tcPr>
            <w:tcW w:w="1828" w:type="dxa"/>
            <w:tcMar>
              <w:top w:w="15" w:type="dxa"/>
              <w:left w:w="15" w:type="dxa"/>
              <w:right w:w="15" w:type="dxa"/>
            </w:tcMar>
          </w:tcPr>
          <w:p w14:paraId="0D5996BE" w14:textId="2EBB149A"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171,5</w:t>
            </w:r>
          </w:p>
        </w:tc>
        <w:tc>
          <w:tcPr>
            <w:tcW w:w="1828" w:type="dxa"/>
            <w:tcMar>
              <w:top w:w="15" w:type="dxa"/>
              <w:left w:w="15" w:type="dxa"/>
              <w:right w:w="15" w:type="dxa"/>
            </w:tcMar>
          </w:tcPr>
          <w:p w14:paraId="43685AC7" w14:textId="341B1877"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8 006,5</w:t>
            </w:r>
          </w:p>
        </w:tc>
        <w:tc>
          <w:tcPr>
            <w:tcW w:w="1828" w:type="dxa"/>
            <w:tcMar>
              <w:top w:w="15" w:type="dxa"/>
              <w:left w:w="15" w:type="dxa"/>
              <w:right w:w="15" w:type="dxa"/>
            </w:tcMar>
          </w:tcPr>
          <w:p w14:paraId="73ADBE43" w14:textId="11F2BB51" w:rsidR="17C28F62" w:rsidRDefault="17C28F62" w:rsidP="5ED18CA4">
            <w:pPr>
              <w:spacing w:after="0"/>
              <w:jc w:val="center"/>
              <w:rPr>
                <w:rFonts w:eastAsia="Source Sans Pro Light" w:cs="Source Sans Pro Light"/>
                <w:color w:val="000000" w:themeColor="text1"/>
              </w:rPr>
            </w:pPr>
            <w:r w:rsidRPr="0580B90C">
              <w:rPr>
                <w:rFonts w:eastAsia="Source Sans Pro Light" w:cs="Source Sans Pro Light"/>
                <w:color w:val="000000" w:themeColor="text1"/>
              </w:rPr>
              <w:t>7 835,0</w:t>
            </w:r>
          </w:p>
        </w:tc>
      </w:tr>
    </w:tbl>
    <w:p w14:paraId="48CDD1B0" w14:textId="627E2177" w:rsidR="520A432B" w:rsidRDefault="520A432B" w:rsidP="520A432B"/>
    <w:p w14:paraId="4B4A4148" w14:textId="1EAF1456" w:rsidR="2B546A5F" w:rsidRDefault="2B546A5F" w:rsidP="74275486">
      <w:r>
        <w:t>Il est important de noter ici qu’il s’agit bien d’ordres de grandeur, et non d’une estimation précise. D'une part car nous ne sommes pas exhaustifs sur l’ensemble de nos bénéficiaires en raison de la catégorisation NAF de l’Insee</w:t>
      </w:r>
      <w:r w:rsidR="0CF79923">
        <w:t xml:space="preserve"> (cf. </w:t>
      </w:r>
      <w:r w:rsidR="0CF79923" w:rsidRPr="002378F4">
        <w:t xml:space="preserve">Partie </w:t>
      </w:r>
      <w:r w:rsidR="002378F4" w:rsidRPr="002378F4">
        <w:fldChar w:fldCharType="begin"/>
      </w:r>
      <w:r w:rsidR="002378F4" w:rsidRPr="002378F4">
        <w:instrText xml:space="preserve"> REF _Ref164952285 \r \h </w:instrText>
      </w:r>
      <w:r w:rsidR="002378F4">
        <w:instrText xml:space="preserve"> \* MERGEFORMAT </w:instrText>
      </w:r>
      <w:r w:rsidR="002378F4" w:rsidRPr="002378F4">
        <w:fldChar w:fldCharType="separate"/>
      </w:r>
      <w:r w:rsidR="002378F4" w:rsidRPr="002378F4">
        <w:t>3.2</w:t>
      </w:r>
      <w:r w:rsidR="002378F4" w:rsidRPr="002378F4">
        <w:fldChar w:fldCharType="end"/>
      </w:r>
      <w:r w:rsidR="0CF79923" w:rsidRPr="002378F4">
        <w:t>)</w:t>
      </w:r>
      <w:r w:rsidRPr="002378F4">
        <w:t>,</w:t>
      </w:r>
      <w:r>
        <w:t xml:space="preserve"> et d’autre part car d’autres </w:t>
      </w:r>
      <w:r w:rsidR="2934F82C">
        <w:t xml:space="preserve">éléments que les aides </w:t>
      </w:r>
      <w:r w:rsidR="00DC15B9">
        <w:t>COVID</w:t>
      </w:r>
      <w:r w:rsidR="2934F82C">
        <w:t xml:space="preserve">-19 peuvent expliquer les </w:t>
      </w:r>
      <w:r w:rsidR="31120228">
        <w:t>différences de montants entre 2018 et 2021.</w:t>
      </w:r>
    </w:p>
    <w:p w14:paraId="48A345B2" w14:textId="71B6D111" w:rsidR="4B0C4401" w:rsidRDefault="4B0C4401" w:rsidP="4B0C4401"/>
    <w:p w14:paraId="45A8E02E" w14:textId="1AF9DC4A" w:rsidR="4F16C858" w:rsidRDefault="4F16C858" w:rsidP="006558B9">
      <w:pPr>
        <w:pStyle w:val="Titre3"/>
      </w:pPr>
      <w:bookmarkStart w:id="114" w:name="_Toc177052101"/>
      <w:r>
        <w:t>Exception pour la restauration collective universitaire</w:t>
      </w:r>
      <w:bookmarkEnd w:id="114"/>
    </w:p>
    <w:p w14:paraId="274205E2" w14:textId="335CE01B" w:rsidR="3D4C45FB" w:rsidRDefault="44C900B9" w:rsidP="1344B88D">
      <w:pPr>
        <w:rPr>
          <w:highlight w:val="yellow"/>
        </w:rPr>
      </w:pPr>
      <w:r>
        <w:t>Autre exception dans la collecte de données : les montants publics dédiés à la restauration collective universitaire. En effet, dans la mission budgétaire “Recherche et enseignement supérieur”, les crédits dédiés aux C</w:t>
      </w:r>
      <w:r w:rsidR="2649C45D">
        <w:t xml:space="preserve">ROUS </w:t>
      </w:r>
      <w:r>
        <w:t>sont agrégés en “Hébergement et restauration”, s</w:t>
      </w:r>
      <w:r w:rsidR="5C8041EC">
        <w:t>ans isolation de la partie “restauration” seulement</w:t>
      </w:r>
      <w:r>
        <w:t>.</w:t>
      </w:r>
      <w:r w:rsidR="27E594BE">
        <w:t xml:space="preserve"> </w:t>
      </w:r>
      <w:r>
        <w:t>N</w:t>
      </w:r>
      <w:r w:rsidR="5372C5DA">
        <w:t>os données proviennent donc des services du</w:t>
      </w:r>
      <w:r>
        <w:t xml:space="preserve"> CNOUS</w:t>
      </w:r>
      <w:r w:rsidR="1624FDB1">
        <w:t>, qui ont pu nous fournir les données manquantes.</w:t>
      </w:r>
    </w:p>
    <w:p w14:paraId="3BE99F02" w14:textId="1FAC67ED" w:rsidR="1345D9E8" w:rsidRDefault="7B0E0940" w:rsidP="001B6CA9">
      <w:pPr>
        <w:pStyle w:val="Titre2"/>
      </w:pPr>
      <w:bookmarkStart w:id="115" w:name="_Toc177052102"/>
      <w:r>
        <w:t>Données manquantes et limites</w:t>
      </w:r>
      <w:bookmarkEnd w:id="115"/>
    </w:p>
    <w:p w14:paraId="41E68308" w14:textId="208B88CD" w:rsidR="520A432B" w:rsidRDefault="27DCEA6E" w:rsidP="520A432B">
      <w:r>
        <w:t xml:space="preserve">La limite principale de la collecte des données de dépenses budgétaires nationales réside dans </w:t>
      </w:r>
      <w:r w:rsidR="7563F295">
        <w:t xml:space="preserve">l’impossibilité de s’assurer d’être complètement exhaustifs. Il se peut en effet que des crédits budgétaires </w:t>
      </w:r>
      <w:r w:rsidR="28E9CACD">
        <w:t>dédiés</w:t>
      </w:r>
      <w:r w:rsidR="7563F295">
        <w:t xml:space="preserve"> au système alimentaire se cachent dans d’autres missions ou programmes budgétaires</w:t>
      </w:r>
      <w:r w:rsidR="50E45CD4">
        <w:t>.</w:t>
      </w:r>
    </w:p>
    <w:p w14:paraId="025DA520" w14:textId="43EA97B9" w:rsidR="5723C52A" w:rsidRDefault="5723C52A" w:rsidP="5723C52A">
      <w:pPr>
        <w:rPr>
          <w:highlight w:val="yellow"/>
        </w:rPr>
      </w:pPr>
    </w:p>
    <w:p w14:paraId="5EEF6770" w14:textId="5365C2DE" w:rsidR="008B116C" w:rsidRDefault="53ACF457" w:rsidP="006558B9">
      <w:pPr>
        <w:pStyle w:val="Titre1"/>
      </w:pPr>
      <w:bookmarkStart w:id="116" w:name="_Toc424661943"/>
      <w:bookmarkStart w:id="117" w:name="_Toc177052103"/>
      <w:r>
        <w:t>Dépenses fiscales</w:t>
      </w:r>
      <w:r w:rsidR="3D51D110">
        <w:t xml:space="preserve"> du budget de l’</w:t>
      </w:r>
      <w:r w:rsidR="00594801">
        <w:t>État</w:t>
      </w:r>
      <w:bookmarkEnd w:id="116"/>
      <w:bookmarkEnd w:id="117"/>
    </w:p>
    <w:p w14:paraId="6F39AFB5" w14:textId="08566BF2" w:rsidR="46EA857D" w:rsidRDefault="719F6D2A" w:rsidP="001B6CA9">
      <w:pPr>
        <w:pStyle w:val="Titre2"/>
      </w:pPr>
      <w:bookmarkStart w:id="118" w:name="_Toc177052104"/>
      <w:r>
        <w:t>Présentation générale et sources principales des données</w:t>
      </w:r>
      <w:bookmarkEnd w:id="118"/>
    </w:p>
    <w:p w14:paraId="36E45B15" w14:textId="7269521E" w:rsidR="4E6DA5D3" w:rsidRDefault="4E6DA5D3" w:rsidP="06AB53B2">
      <w:r w:rsidRPr="06AB53B2">
        <w:rPr>
          <w:b/>
          <w:bCs/>
        </w:rPr>
        <w:t>Les dépenses fiscales correspondent pour l’</w:t>
      </w:r>
      <w:r w:rsidR="00594801">
        <w:rPr>
          <w:b/>
          <w:bCs/>
        </w:rPr>
        <w:t>État</w:t>
      </w:r>
      <w:r w:rsidRPr="06AB53B2">
        <w:rPr>
          <w:b/>
          <w:bCs/>
        </w:rPr>
        <w:t xml:space="preserve"> à un manque à gagner de recettes fiscales</w:t>
      </w:r>
      <w:r>
        <w:t xml:space="preserve"> : </w:t>
      </w:r>
      <w:r w:rsidR="036CC284">
        <w:t xml:space="preserve">certaines personnes physiques ou morales bénéficient, sous certaines conditions d’exonérations, de réductions ou de remboursements de taxes ou d’impôts. </w:t>
      </w:r>
      <w:r w:rsidR="150B7581">
        <w:t xml:space="preserve">La dépense fiscale (ou niche fiscale) est donc une situation exceptionnelle par rapport à une “norme fiscale”, c’est à dire le taux qui devrait s’appliquer normalement. </w:t>
      </w:r>
    </w:p>
    <w:p w14:paraId="754EC753" w14:textId="419E11EF" w:rsidR="29613B20" w:rsidRDefault="304DFD32" w:rsidP="1345D9E8">
      <w:pPr>
        <w:rPr>
          <w:rFonts w:eastAsia="Source Sans Pro Light" w:cs="Source Sans Pro Light"/>
        </w:rPr>
      </w:pPr>
      <w:r w:rsidRPr="68CD6728">
        <w:rPr>
          <w:b/>
          <w:bCs/>
        </w:rPr>
        <w:t>Ces dépenses fiscales sont reportées chaque année dans un document intitulé</w:t>
      </w:r>
      <w:r w:rsidR="29613B20" w:rsidRPr="0AA19A89">
        <w:rPr>
          <w:b/>
        </w:rPr>
        <w:t xml:space="preserve"> “Voies et moyens Tome II”</w:t>
      </w:r>
      <w:r w:rsidR="5C67C8FD" w:rsidRPr="0AA19A89">
        <w:rPr>
          <w:b/>
        </w:rPr>
        <w:t xml:space="preserve"> </w:t>
      </w:r>
      <w:r w:rsidR="41F9BDC3" w:rsidRPr="0AA19A89">
        <w:rPr>
          <w:b/>
          <w:bCs/>
        </w:rPr>
        <w:t>(VMT II</w:t>
      </w:r>
      <w:r w:rsidR="41F9BDC3" w:rsidRPr="68CD6728">
        <w:rPr>
          <w:b/>
          <w:bCs/>
        </w:rPr>
        <w:t>)</w:t>
      </w:r>
      <w:r w:rsidR="34CC290D" w:rsidRPr="68CD6728">
        <w:rPr>
          <w:b/>
          <w:bCs/>
        </w:rPr>
        <w:t>, annexé</w:t>
      </w:r>
      <w:r w:rsidR="5C67C8FD" w:rsidRPr="0AA19A89">
        <w:rPr>
          <w:b/>
          <w:bCs/>
        </w:rPr>
        <w:t xml:space="preserve"> </w:t>
      </w:r>
      <w:r w:rsidR="5C67C8FD" w:rsidRPr="0AA19A89">
        <w:rPr>
          <w:b/>
        </w:rPr>
        <w:t>au projet de loi de finances</w:t>
      </w:r>
      <w:r w:rsidR="297C9851">
        <w:t xml:space="preserve"> (cf. </w:t>
      </w:r>
      <w:r w:rsidR="73B3DA11">
        <w:t>p</w:t>
      </w:r>
      <w:r w:rsidR="297C9851">
        <w:t>artie</w:t>
      </w:r>
      <w:r w:rsidR="00974832">
        <w:t xml:space="preserve"> </w:t>
      </w:r>
      <w:r w:rsidR="00974832">
        <w:rPr>
          <w:highlight w:val="yellow"/>
        </w:rPr>
        <w:fldChar w:fldCharType="begin"/>
      </w:r>
      <w:r w:rsidR="00974832">
        <w:instrText xml:space="preserve"> REF _Ref177050067 \r \h </w:instrText>
      </w:r>
      <w:r w:rsidR="00974832">
        <w:rPr>
          <w:highlight w:val="yellow"/>
        </w:rPr>
      </w:r>
      <w:r w:rsidR="00974832">
        <w:rPr>
          <w:highlight w:val="yellow"/>
        </w:rPr>
        <w:fldChar w:fldCharType="separate"/>
      </w:r>
      <w:r w:rsidR="00974832">
        <w:t>9</w:t>
      </w:r>
      <w:r w:rsidR="00974832">
        <w:rPr>
          <w:highlight w:val="yellow"/>
        </w:rPr>
        <w:fldChar w:fldCharType="end"/>
      </w:r>
      <w:r w:rsidR="297C9851">
        <w:t>)</w:t>
      </w:r>
      <w:r w:rsidR="1E547E21">
        <w:t xml:space="preserve">. Ce document reporte l’estimation de chaque dépense </w:t>
      </w:r>
      <w:r w:rsidR="1E547E21">
        <w:lastRenderedPageBreak/>
        <w:t xml:space="preserve">fiscale pour l’année N, l’année N-1, ainsi que la dépense </w:t>
      </w:r>
      <w:r w:rsidR="194E5BFE">
        <w:t>exécutée (</w:t>
      </w:r>
      <w:r w:rsidR="64DDB3FB">
        <w:t xml:space="preserve">c’est à dire </w:t>
      </w:r>
      <w:r w:rsidR="1E547E21">
        <w:t>avérée</w:t>
      </w:r>
      <w:r w:rsidR="7CA2DACE">
        <w:t>)</w:t>
      </w:r>
      <w:r w:rsidR="1E547E21">
        <w:t xml:space="preserve"> de l’année N-2. </w:t>
      </w:r>
      <w:r w:rsidR="66433B97">
        <w:t>Ces documen</w:t>
      </w:r>
      <w:r w:rsidR="00294414">
        <w:t>t</w:t>
      </w:r>
      <w:r w:rsidR="66433B97">
        <w:t>s sont téléchargeables s</w:t>
      </w:r>
      <w:r w:rsidR="571F552A">
        <w:t xml:space="preserve">ous format PDF ou Excel sur le site </w:t>
      </w:r>
      <w:hyperlink r:id="rId21">
        <w:r w:rsidR="571F552A" w:rsidRPr="5E9573C7">
          <w:rPr>
            <w:rStyle w:val="Lienhypertexte"/>
            <w:rFonts w:eastAsia="Source Sans Pro Light" w:cs="Source Sans Pro Light"/>
          </w:rPr>
          <w:t>budget.gouv.fr</w:t>
        </w:r>
      </w:hyperlink>
      <w:r w:rsidR="571F552A" w:rsidRPr="5E9573C7">
        <w:rPr>
          <w:rFonts w:eastAsia="Source Sans Pro Light" w:cs="Source Sans Pro Light"/>
        </w:rPr>
        <w:t>.</w:t>
      </w:r>
      <w:r w:rsidR="19DD42DC" w:rsidRPr="2248BC6B">
        <w:rPr>
          <w:rFonts w:eastAsia="Source Sans Pro Light" w:cs="Source Sans Pro Light"/>
        </w:rPr>
        <w:t xml:space="preserve"> </w:t>
      </w:r>
    </w:p>
    <w:p w14:paraId="287AEB18" w14:textId="1603626A" w:rsidR="5BA97CF7" w:rsidRDefault="00CA146D" w:rsidP="006558B9">
      <w:pPr>
        <w:pStyle w:val="Titre3"/>
      </w:pPr>
      <w:bookmarkStart w:id="119" w:name="_Ref177050163"/>
      <w:bookmarkStart w:id="120" w:name="_Toc177052105"/>
      <w:r>
        <w:t>Méthodologie de collecte</w:t>
      </w:r>
      <w:bookmarkEnd w:id="119"/>
      <w:bookmarkEnd w:id="120"/>
    </w:p>
    <w:p w14:paraId="69BCDEF6" w14:textId="53198934" w:rsidR="2EE7361A" w:rsidRDefault="19DD42DC" w:rsidP="23FFBBC0">
      <w:pPr>
        <w:rPr>
          <w:rFonts w:eastAsia="Source Sans Pro Light" w:cs="Source Sans Pro Light"/>
        </w:rPr>
      </w:pPr>
      <w:r w:rsidRPr="2248BC6B">
        <w:rPr>
          <w:rFonts w:eastAsia="Source Sans Pro Light" w:cs="Source Sans Pro Light"/>
          <w:b/>
        </w:rPr>
        <w:t>Nous collectons ainsi les données brutes à partir des fichiers Excel pour toutes les années de 2018 à 2024</w:t>
      </w:r>
      <w:r w:rsidRPr="224F155F">
        <w:rPr>
          <w:rFonts w:eastAsia="Source Sans Pro Light" w:cs="Source Sans Pro Light"/>
        </w:rPr>
        <w:t>.</w:t>
      </w:r>
      <w:r w:rsidRPr="2248BC6B">
        <w:rPr>
          <w:rFonts w:eastAsia="Source Sans Pro Light" w:cs="Source Sans Pro Light"/>
        </w:rPr>
        <w:t xml:space="preserve"> Chaque dépense fiscale étant rattachée à une mission budgétaire, nous retenons celles rattachées à la mission AAFAR (exclusion</w:t>
      </w:r>
      <w:r w:rsidRPr="438585BC">
        <w:rPr>
          <w:rFonts w:eastAsia="Source Sans Pro Light" w:cs="Source Sans Pro Light"/>
        </w:rPr>
        <w:t xml:space="preserve"> faite des dépenses fiscales liées uniquement à </w:t>
      </w:r>
      <w:r w:rsidRPr="34BFAF9F">
        <w:rPr>
          <w:rFonts w:eastAsia="Source Sans Pro Light" w:cs="Source Sans Pro Light"/>
        </w:rPr>
        <w:t xml:space="preserve">la forêt, au développement rural ou </w:t>
      </w:r>
      <w:r w:rsidR="43B4343D" w:rsidRPr="3575393E">
        <w:rPr>
          <w:rFonts w:eastAsia="Source Sans Pro Light" w:cs="Source Sans Pro Light"/>
        </w:rPr>
        <w:t>aux activités équines</w:t>
      </w:r>
      <w:r w:rsidR="43B4343D" w:rsidRPr="3ACB105B">
        <w:rPr>
          <w:rFonts w:eastAsia="Source Sans Pro Light" w:cs="Source Sans Pro Light"/>
        </w:rPr>
        <w:t xml:space="preserve">). </w:t>
      </w:r>
      <w:r w:rsidR="43B4343D" w:rsidRPr="4B2335BC">
        <w:rPr>
          <w:rFonts w:eastAsia="Source Sans Pro Light" w:cs="Source Sans Pro Light"/>
        </w:rPr>
        <w:t xml:space="preserve">Nous réalisons aussi des recherches par mots clés pour </w:t>
      </w:r>
      <w:r w:rsidR="43B4343D" w:rsidRPr="64014B18">
        <w:rPr>
          <w:rFonts w:eastAsia="Source Sans Pro Light" w:cs="Source Sans Pro Light"/>
        </w:rPr>
        <w:t xml:space="preserve">couvrir les dépenses fiscales non rattachées à la </w:t>
      </w:r>
      <w:r w:rsidR="43B4343D" w:rsidRPr="693276E0">
        <w:rPr>
          <w:rFonts w:eastAsia="Source Sans Pro Light" w:cs="Source Sans Pro Light"/>
        </w:rPr>
        <w:t xml:space="preserve">mission AAFAR, mais dédiées au système alimentaire selon notre </w:t>
      </w:r>
      <w:r w:rsidR="43B4343D" w:rsidRPr="1337966B">
        <w:rPr>
          <w:rFonts w:eastAsia="Source Sans Pro Light" w:cs="Source Sans Pro Light"/>
        </w:rPr>
        <w:t>définition.</w:t>
      </w:r>
      <w:r w:rsidR="65C37E47" w:rsidRPr="65A1D63E">
        <w:rPr>
          <w:rFonts w:eastAsia="Source Sans Pro Light" w:cs="Source Sans Pro Light"/>
        </w:rPr>
        <w:t xml:space="preserve"> </w:t>
      </w:r>
      <w:r w:rsidR="78D99A96" w:rsidRPr="7B41BF13">
        <w:rPr>
          <w:rFonts w:eastAsia="Source Sans Pro Light" w:cs="Source Sans Pro Light"/>
        </w:rPr>
        <w:t>Nous couvrons également les principales exonérations fiscales généralistes : le crédit d’impôt à la recherche</w:t>
      </w:r>
      <w:r w:rsidR="78D99A96" w:rsidRPr="11A0E576">
        <w:rPr>
          <w:rFonts w:eastAsia="Source Sans Pro Light" w:cs="Source Sans Pro Light"/>
        </w:rPr>
        <w:t xml:space="preserve"> (CIR), et le crédit d’impôt compétitivité emploi (CICE, </w:t>
      </w:r>
      <w:r w:rsidR="7A40E591" w:rsidRPr="40E511A0">
        <w:rPr>
          <w:rFonts w:eastAsia="Source Sans Pro Light" w:cs="Source Sans Pro Light"/>
        </w:rPr>
        <w:t>qui a pris fin</w:t>
      </w:r>
      <w:r w:rsidR="78D99A96" w:rsidRPr="40E511A0">
        <w:rPr>
          <w:rFonts w:eastAsia="Source Sans Pro Light" w:cs="Source Sans Pro Light"/>
        </w:rPr>
        <w:t xml:space="preserve"> </w:t>
      </w:r>
      <w:r w:rsidR="08A17926" w:rsidRPr="40E511A0">
        <w:rPr>
          <w:rFonts w:eastAsia="Source Sans Pro Light" w:cs="Source Sans Pro Light"/>
        </w:rPr>
        <w:t xml:space="preserve">en </w:t>
      </w:r>
      <w:r w:rsidR="78D99A96" w:rsidRPr="40E511A0">
        <w:rPr>
          <w:rFonts w:eastAsia="Source Sans Pro Light" w:cs="Source Sans Pro Light"/>
        </w:rPr>
        <w:t>2019).</w:t>
      </w:r>
    </w:p>
    <w:p w14:paraId="0EAE75A1" w14:textId="55598BB6" w:rsidR="2EE7361A" w:rsidRDefault="65C37E47" w:rsidP="2EE7361A">
      <w:pPr>
        <w:rPr>
          <w:rFonts w:eastAsia="Source Sans Pro Light" w:cs="Source Sans Pro Light"/>
        </w:rPr>
      </w:pPr>
      <w:r w:rsidRPr="587867FA">
        <w:rPr>
          <w:rFonts w:eastAsia="Source Sans Pro Light" w:cs="Source Sans Pro Light"/>
        </w:rPr>
        <w:t xml:space="preserve">Pour les </w:t>
      </w:r>
      <w:r w:rsidRPr="23FFBBC0">
        <w:rPr>
          <w:rFonts w:eastAsia="Source Sans Pro Light" w:cs="Source Sans Pro Light"/>
          <w:b/>
        </w:rPr>
        <w:t>montants prévisionnels</w:t>
      </w:r>
      <w:r w:rsidRPr="587867FA">
        <w:rPr>
          <w:rFonts w:eastAsia="Source Sans Pro Light" w:cs="Source Sans Pro Light"/>
        </w:rPr>
        <w:t xml:space="preserve"> de l’année N, nous retenons de préférence l’estimation de l’année N, à </w:t>
      </w:r>
      <w:r w:rsidR="6223F32D" w:rsidRPr="587867FA">
        <w:rPr>
          <w:rFonts w:eastAsia="Source Sans Pro Light" w:cs="Source Sans Pro Light"/>
        </w:rPr>
        <w:t xml:space="preserve">défaut celle de N+1, et à défaut encore l’exécuté de l’année N+2. Pour les </w:t>
      </w:r>
      <w:r w:rsidR="6223F32D" w:rsidRPr="23FFBBC0">
        <w:rPr>
          <w:rFonts w:eastAsia="Source Sans Pro Light" w:cs="Source Sans Pro Light"/>
          <w:b/>
        </w:rPr>
        <w:t>montants exécutés</w:t>
      </w:r>
      <w:r w:rsidR="23228220" w:rsidRPr="587867FA">
        <w:rPr>
          <w:rFonts w:eastAsia="Source Sans Pro Light" w:cs="Source Sans Pro Light"/>
        </w:rPr>
        <w:t xml:space="preserve"> de l’année N</w:t>
      </w:r>
      <w:r w:rsidR="6223F32D" w:rsidRPr="587867FA">
        <w:rPr>
          <w:rFonts w:eastAsia="Source Sans Pro Light" w:cs="Source Sans Pro Light"/>
        </w:rPr>
        <w:t>, nous retenons le montant exé</w:t>
      </w:r>
      <w:r w:rsidR="18CC3C5E" w:rsidRPr="587867FA">
        <w:rPr>
          <w:rFonts w:eastAsia="Source Sans Pro Light" w:cs="Source Sans Pro Light"/>
        </w:rPr>
        <w:t xml:space="preserve">cuté </w:t>
      </w:r>
      <w:r w:rsidR="69C6AE2E" w:rsidRPr="6BFA4D45">
        <w:rPr>
          <w:rFonts w:eastAsia="Source Sans Pro Light" w:cs="Source Sans Pro Light"/>
        </w:rPr>
        <w:t>reporté à N+2, à défaut l’estimation à N+1, et à défaut l’estimation à N.</w:t>
      </w:r>
    </w:p>
    <w:p w14:paraId="65B7850D" w14:textId="31509A2A" w:rsidR="5B59A520" w:rsidRDefault="7C8956E7" w:rsidP="5B59A520">
      <w:pPr>
        <w:rPr>
          <w:rFonts w:eastAsia="Source Sans Pro Light" w:cs="Source Sans Pro Light"/>
        </w:rPr>
      </w:pPr>
      <w:r w:rsidRPr="5F9C69CF">
        <w:rPr>
          <w:rFonts w:eastAsia="Source Sans Pro Light" w:cs="Source Sans Pro Light"/>
          <w:b/>
          <w:bCs/>
        </w:rPr>
        <w:t>Par définition donc, notre collecte de donnée est extrêmement dépendante de ce que l’</w:t>
      </w:r>
      <w:r w:rsidR="00594801">
        <w:rPr>
          <w:rFonts w:eastAsia="Source Sans Pro Light" w:cs="Source Sans Pro Light"/>
          <w:b/>
          <w:bCs/>
        </w:rPr>
        <w:t>État</w:t>
      </w:r>
      <w:r w:rsidRPr="5F9C69CF">
        <w:rPr>
          <w:rFonts w:eastAsia="Source Sans Pro Light" w:cs="Source Sans Pro Light"/>
          <w:b/>
          <w:bCs/>
        </w:rPr>
        <w:t xml:space="preserve"> estime être une dépense fiscale, et calcule comme tel</w:t>
      </w:r>
      <w:r w:rsidRPr="5F9C69CF">
        <w:rPr>
          <w:rFonts w:eastAsia="Source Sans Pro Light" w:cs="Source Sans Pro Light"/>
        </w:rPr>
        <w:t xml:space="preserve">. Une dépense fiscale est une </w:t>
      </w:r>
      <w:r w:rsidRPr="37F2BCDA">
        <w:rPr>
          <w:rFonts w:eastAsia="Source Sans Pro Light" w:cs="Source Sans Pro Light"/>
        </w:rPr>
        <w:t>disp</w:t>
      </w:r>
      <w:r w:rsidR="18BB161F" w:rsidRPr="37F2BCDA">
        <w:rPr>
          <w:rFonts w:eastAsia="Source Sans Pro Light" w:cs="Source Sans Pro Light"/>
        </w:rPr>
        <w:t>o</w:t>
      </w:r>
      <w:r w:rsidRPr="37F2BCDA">
        <w:rPr>
          <w:rFonts w:eastAsia="Source Sans Pro Light" w:cs="Source Sans Pro Light"/>
        </w:rPr>
        <w:t>sition</w:t>
      </w:r>
      <w:r w:rsidRPr="5F9C69CF">
        <w:rPr>
          <w:rFonts w:eastAsia="Source Sans Pro Light" w:cs="Source Sans Pro Light"/>
        </w:rPr>
        <w:t xml:space="preserve"> particulière par rapport à une</w:t>
      </w:r>
      <w:r w:rsidR="65C125B9" w:rsidRPr="5F9C69CF">
        <w:rPr>
          <w:rFonts w:eastAsia="Source Sans Pro Light" w:cs="Source Sans Pro Light"/>
        </w:rPr>
        <w:t xml:space="preserve"> norme. </w:t>
      </w:r>
      <w:r w:rsidR="65C125B9" w:rsidRPr="4D9F8A68">
        <w:rPr>
          <w:rFonts w:eastAsia="Source Sans Pro Light" w:cs="Source Sans Pro Light"/>
        </w:rPr>
        <w:t xml:space="preserve">Sa qualification dépend donc de la qualification de </w:t>
      </w:r>
      <w:r w:rsidR="327096D9" w:rsidRPr="37F2BCDA">
        <w:rPr>
          <w:rFonts w:eastAsia="Source Sans Pro Light" w:cs="Source Sans Pro Light"/>
        </w:rPr>
        <w:t xml:space="preserve">“disposition </w:t>
      </w:r>
      <w:r w:rsidR="427845DA" w:rsidRPr="37F2BCDA">
        <w:rPr>
          <w:rFonts w:eastAsia="Source Sans Pro Light" w:cs="Source Sans Pro Light"/>
        </w:rPr>
        <w:t>particulière</w:t>
      </w:r>
      <w:r w:rsidR="327096D9" w:rsidRPr="37F2BCDA">
        <w:rPr>
          <w:rFonts w:eastAsia="Source Sans Pro Light" w:cs="Source Sans Pro Light"/>
        </w:rPr>
        <w:t>” et de “</w:t>
      </w:r>
      <w:r w:rsidR="65C125B9" w:rsidRPr="4D9F8A68">
        <w:rPr>
          <w:rFonts w:eastAsia="Source Sans Pro Light" w:cs="Source Sans Pro Light"/>
        </w:rPr>
        <w:t>norme</w:t>
      </w:r>
      <w:r w:rsidR="1D97EE4D" w:rsidRPr="37F2BCDA">
        <w:rPr>
          <w:rFonts w:eastAsia="Source Sans Pro Light" w:cs="Source Sans Pro Light"/>
        </w:rPr>
        <w:t>”</w:t>
      </w:r>
      <w:r w:rsidR="65C125B9" w:rsidRPr="37F2BCDA">
        <w:rPr>
          <w:rFonts w:eastAsia="Source Sans Pro Light" w:cs="Source Sans Pro Light"/>
        </w:rPr>
        <w:t>.</w:t>
      </w:r>
      <w:r w:rsidR="3329B1CB" w:rsidRPr="37F2BCDA">
        <w:rPr>
          <w:rFonts w:eastAsia="Source Sans Pro Light" w:cs="Source Sans Pro Light"/>
        </w:rPr>
        <w:t xml:space="preserve"> Par exemple,</w:t>
      </w:r>
      <w:r w:rsidR="250FD4EE" w:rsidRPr="37F2BCDA">
        <w:rPr>
          <w:rFonts w:eastAsia="Source Sans Pro Light" w:cs="Source Sans Pro Light"/>
        </w:rPr>
        <w:t xml:space="preserve"> le taux de TVA réduit </w:t>
      </w:r>
      <w:r w:rsidR="04BCB626" w:rsidRPr="37F2BCDA">
        <w:rPr>
          <w:rFonts w:eastAsia="Source Sans Pro Light" w:cs="Source Sans Pro Light"/>
        </w:rPr>
        <w:t xml:space="preserve">à 5 % </w:t>
      </w:r>
      <w:r w:rsidR="250FD4EE" w:rsidRPr="37F2BCDA">
        <w:rPr>
          <w:rFonts w:eastAsia="Source Sans Pro Light" w:cs="Source Sans Pro Light"/>
        </w:rPr>
        <w:t>pour les produits de première nécessité (alimentaires notamment)</w:t>
      </w:r>
      <w:r w:rsidR="01BEA332" w:rsidRPr="37F2BCDA">
        <w:rPr>
          <w:rFonts w:eastAsia="Source Sans Pro Light" w:cs="Source Sans Pro Light"/>
        </w:rPr>
        <w:t xml:space="preserve"> n’est plus considéré comme une disposition particuli</w:t>
      </w:r>
      <w:r w:rsidR="4E6D48E9" w:rsidRPr="37F2BCDA">
        <w:rPr>
          <w:rFonts w:eastAsia="Source Sans Pro Light" w:cs="Source Sans Pro Light"/>
        </w:rPr>
        <w:t xml:space="preserve">ère par rapport au taux “normal” de 20%. </w:t>
      </w:r>
      <w:r w:rsidR="4E6D48E9" w:rsidRPr="52A9B85E">
        <w:rPr>
          <w:rFonts w:eastAsia="Source Sans Pro Light" w:cs="Source Sans Pro Light"/>
        </w:rPr>
        <w:t>L</w:t>
      </w:r>
      <w:r w:rsidR="34A4E913" w:rsidRPr="52A9B85E">
        <w:rPr>
          <w:rFonts w:eastAsia="Source Sans Pro Light" w:cs="Source Sans Pro Light"/>
        </w:rPr>
        <w:t>e</w:t>
      </w:r>
      <w:r w:rsidR="4E6D48E9" w:rsidRPr="37F2BCDA">
        <w:rPr>
          <w:rFonts w:eastAsia="Source Sans Pro Light" w:cs="Source Sans Pro Light"/>
        </w:rPr>
        <w:t xml:space="preserve"> taux de TVA réduit n’est donc pas considéré comme une dépense fiscale</w:t>
      </w:r>
      <w:r w:rsidR="112B9706" w:rsidRPr="52A9B85E">
        <w:rPr>
          <w:rFonts w:eastAsia="Source Sans Pro Light" w:cs="Source Sans Pro Light"/>
        </w:rPr>
        <w:t xml:space="preserve">, et </w:t>
      </w:r>
      <w:r w:rsidR="7B491521" w:rsidRPr="0A88FF0C">
        <w:rPr>
          <w:rFonts w:eastAsia="Source Sans Pro Light" w:cs="Source Sans Pro Light"/>
        </w:rPr>
        <w:t>l</w:t>
      </w:r>
      <w:r w:rsidR="29161C40" w:rsidRPr="0A88FF0C">
        <w:rPr>
          <w:rFonts w:eastAsia="Source Sans Pro Light" w:cs="Source Sans Pro Light"/>
        </w:rPr>
        <w:t>e manque à gagner pour les recettes de l’</w:t>
      </w:r>
      <w:r w:rsidR="00594801">
        <w:rPr>
          <w:rFonts w:eastAsia="Source Sans Pro Light" w:cs="Source Sans Pro Light"/>
        </w:rPr>
        <w:t>État</w:t>
      </w:r>
      <w:r w:rsidR="29161C40" w:rsidRPr="0A88FF0C">
        <w:rPr>
          <w:rFonts w:eastAsia="Source Sans Pro Light" w:cs="Source Sans Pro Light"/>
        </w:rPr>
        <w:t xml:space="preserve"> n’est donc pas </w:t>
      </w:r>
      <w:r w:rsidR="29161C40" w:rsidRPr="3C276EDB">
        <w:rPr>
          <w:rFonts w:eastAsia="Source Sans Pro Light" w:cs="Source Sans Pro Light"/>
        </w:rPr>
        <w:t xml:space="preserve">calculé. </w:t>
      </w:r>
      <w:r w:rsidR="29161C40" w:rsidRPr="091961E4">
        <w:rPr>
          <w:rFonts w:eastAsia="Source Sans Pro Light" w:cs="Source Sans Pro Light"/>
        </w:rPr>
        <w:t xml:space="preserve">Il s’agit alors de dépenses fiscales déclassées. Certaines d’entre elles font toujours l’objet </w:t>
      </w:r>
      <w:r w:rsidR="29161C40" w:rsidRPr="3AD58C9C">
        <w:rPr>
          <w:rFonts w:eastAsia="Source Sans Pro Light" w:cs="Source Sans Pro Light"/>
        </w:rPr>
        <w:t>d’un</w:t>
      </w:r>
      <w:r w:rsidR="3032CF35" w:rsidRPr="3AD58C9C">
        <w:rPr>
          <w:rFonts w:eastAsia="Source Sans Pro Light" w:cs="Source Sans Pro Light"/>
        </w:rPr>
        <w:t>e estimation (fournie</w:t>
      </w:r>
      <w:r w:rsidR="3032CF35" w:rsidRPr="091961E4">
        <w:rPr>
          <w:rFonts w:eastAsia="Source Sans Pro Light" w:cs="Source Sans Pro Light"/>
        </w:rPr>
        <w:t xml:space="preserve"> dans les fichiers Excel</w:t>
      </w:r>
      <w:r w:rsidR="3032CF35" w:rsidRPr="3AD58C9C">
        <w:rPr>
          <w:rFonts w:eastAsia="Source Sans Pro Light" w:cs="Source Sans Pro Light"/>
        </w:rPr>
        <w:t>), mais n’entrent pas dans le calcul général du budget de l’</w:t>
      </w:r>
      <w:r w:rsidR="00594801">
        <w:rPr>
          <w:rFonts w:eastAsia="Source Sans Pro Light" w:cs="Source Sans Pro Light"/>
        </w:rPr>
        <w:t>État</w:t>
      </w:r>
      <w:r w:rsidR="3032CF35" w:rsidRPr="133431D4">
        <w:rPr>
          <w:rFonts w:eastAsia="Source Sans Pro Light" w:cs="Source Sans Pro Light"/>
        </w:rPr>
        <w:t>.</w:t>
      </w:r>
      <w:r w:rsidR="3032CF35" w:rsidRPr="3AD58C9C">
        <w:rPr>
          <w:rFonts w:eastAsia="Source Sans Pro Light" w:cs="Source Sans Pro Light"/>
        </w:rPr>
        <w:t xml:space="preserve"> </w:t>
      </w:r>
    </w:p>
    <w:p w14:paraId="51BC4EAD" w14:textId="21F3334A" w:rsidR="060598EE" w:rsidRDefault="060598EE" w:rsidP="006558B9">
      <w:pPr>
        <w:pStyle w:val="Titre3"/>
      </w:pPr>
      <w:bookmarkStart w:id="121" w:name="_Toc177052106"/>
      <w:r>
        <w:t>Méthodologie de codage</w:t>
      </w:r>
      <w:bookmarkEnd w:id="121"/>
    </w:p>
    <w:p w14:paraId="5A500FB6" w14:textId="54C787DD" w:rsidR="5B5F32AE" w:rsidRDefault="4E36C2A1" w:rsidP="309AA4DE">
      <w:pPr>
        <w:rPr>
          <w:rFonts w:eastAsia="Source Sans Pro Light" w:cs="Source Sans Pro Light"/>
        </w:rPr>
      </w:pPr>
      <w:r w:rsidRPr="7CB391E2">
        <w:rPr>
          <w:rFonts w:eastAsia="Source Sans Pro Light" w:cs="Source Sans Pro Light"/>
          <w:b/>
        </w:rPr>
        <w:t xml:space="preserve">Pour chaque dépense fiscale, la référence légale est également </w:t>
      </w:r>
      <w:r w:rsidRPr="7CB391E2">
        <w:rPr>
          <w:rFonts w:eastAsia="Source Sans Pro Light" w:cs="Source Sans Pro Light"/>
          <w:b/>
          <w:bCs/>
        </w:rPr>
        <w:t>fournie</w:t>
      </w:r>
      <w:r w:rsidRPr="7CB391E2">
        <w:rPr>
          <w:rFonts w:eastAsia="Source Sans Pro Light" w:cs="Source Sans Pro Light"/>
        </w:rPr>
        <w:t>, c’est</w:t>
      </w:r>
      <w:r w:rsidRPr="2CAEA96D">
        <w:rPr>
          <w:rFonts w:eastAsia="Source Sans Pro Light" w:cs="Source Sans Pro Light"/>
        </w:rPr>
        <w:t xml:space="preserve"> à dire l’article de loi sur lequel cette </w:t>
      </w:r>
      <w:r w:rsidR="5D6CA7A1" w:rsidRPr="5AFCB4C4">
        <w:rPr>
          <w:rFonts w:eastAsia="Source Sans Pro Light" w:cs="Source Sans Pro Light"/>
        </w:rPr>
        <w:t>particularité fiscale se fonde</w:t>
      </w:r>
      <w:r w:rsidRPr="5AFCB4C4">
        <w:rPr>
          <w:rFonts w:eastAsia="Source Sans Pro Light" w:cs="Source Sans Pro Light"/>
        </w:rPr>
        <w:t>.</w:t>
      </w:r>
      <w:r w:rsidRPr="32C75389">
        <w:rPr>
          <w:rFonts w:eastAsia="Source Sans Pro Light" w:cs="Source Sans Pro Light"/>
        </w:rPr>
        <w:t xml:space="preserve"> Cette référence </w:t>
      </w:r>
      <w:r w:rsidR="7BF11D86" w:rsidRPr="5AFCB4C4">
        <w:rPr>
          <w:rFonts w:eastAsia="Source Sans Pro Light" w:cs="Source Sans Pro Light"/>
        </w:rPr>
        <w:t xml:space="preserve">légale </w:t>
      </w:r>
      <w:r w:rsidRPr="32C75389">
        <w:rPr>
          <w:rFonts w:eastAsia="Source Sans Pro Light" w:cs="Source Sans Pro Light"/>
        </w:rPr>
        <w:t xml:space="preserve">nous permet dans de nombreux cas de mieux comprendre à qui l’exonération fiscale bénéficie, </w:t>
      </w:r>
      <w:r w:rsidR="68A4520A" w:rsidRPr="5AFCB4C4">
        <w:rPr>
          <w:rFonts w:eastAsia="Source Sans Pro Light" w:cs="Source Sans Pro Light"/>
        </w:rPr>
        <w:t xml:space="preserve">dans quelles conditions elle s’applique, comment elle est motivée, </w:t>
      </w:r>
      <w:r w:rsidR="68A4520A" w:rsidRPr="08AC00FA">
        <w:rPr>
          <w:rFonts w:eastAsia="Source Sans Pro Light" w:cs="Source Sans Pro Light"/>
        </w:rPr>
        <w:t>etc</w:t>
      </w:r>
      <w:r w:rsidRPr="5AFCB4C4">
        <w:rPr>
          <w:rFonts w:eastAsia="Source Sans Pro Light" w:cs="Source Sans Pro Light"/>
        </w:rPr>
        <w:t xml:space="preserve">. </w:t>
      </w:r>
      <w:r w:rsidR="0367F4BB" w:rsidRPr="7CB391E2">
        <w:rPr>
          <w:rFonts w:eastAsia="Source Sans Pro Light" w:cs="Source Sans Pro Light"/>
          <w:b/>
        </w:rPr>
        <w:t>Elle nous aide ainsi à réaliser notre codage analytique</w:t>
      </w:r>
      <w:r w:rsidRPr="32C75389">
        <w:rPr>
          <w:rFonts w:eastAsia="Source Sans Pro Light" w:cs="Source Sans Pro Light"/>
        </w:rPr>
        <w:t xml:space="preserve">. </w:t>
      </w:r>
    </w:p>
    <w:p w14:paraId="234FF713" w14:textId="050C9363" w:rsidR="19DD42DC" w:rsidRDefault="48A9BEA4" w:rsidP="001B6CA9">
      <w:pPr>
        <w:pStyle w:val="Titre2"/>
      </w:pPr>
      <w:bookmarkStart w:id="122" w:name="_Toc177052107"/>
      <w:r>
        <w:t>Données manquantes</w:t>
      </w:r>
      <w:bookmarkEnd w:id="122"/>
      <w:r>
        <w:t xml:space="preserve"> </w:t>
      </w:r>
    </w:p>
    <w:p w14:paraId="284DCCED" w14:textId="12CD7EDA" w:rsidR="155E0794" w:rsidRDefault="57B95279">
      <w:r>
        <w:t>Il arrive que pour certaines</w:t>
      </w:r>
      <w:r w:rsidR="155E0794">
        <w:t xml:space="preserve"> dépenses certaines années, aucun montant n</w:t>
      </w:r>
      <w:r w:rsidR="65D77FCF">
        <w:t xml:space="preserve">e soit </w:t>
      </w:r>
      <w:r w:rsidR="155E0794">
        <w:t>disponible (</w:t>
      </w:r>
      <w:r w:rsidR="78BF05B3">
        <w:t xml:space="preserve">un </w:t>
      </w:r>
      <w:r w:rsidR="155E0794">
        <w:t>“nc” pour “non communiqué”</w:t>
      </w:r>
      <w:r w:rsidR="2B4A1539">
        <w:t xml:space="preserve"> est reporté à la place</w:t>
      </w:r>
      <w:r w:rsidR="155E0794">
        <w:t xml:space="preserve">), ou </w:t>
      </w:r>
      <w:r w:rsidR="47515307">
        <w:t>que celui ci soit</w:t>
      </w:r>
      <w:r w:rsidR="155E0794">
        <w:t xml:space="preserve"> trop </w:t>
      </w:r>
      <w:r w:rsidR="47515307">
        <w:t>faible</w:t>
      </w:r>
      <w:r w:rsidR="155E0794">
        <w:t xml:space="preserve"> pour être évalué (“epsilon”</w:t>
      </w:r>
      <w:r w:rsidR="2E177C3F">
        <w:t xml:space="preserve"> est reporté</w:t>
      </w:r>
      <w:r w:rsidR="155E0794">
        <w:t>). Dans ce</w:t>
      </w:r>
      <w:r w:rsidR="50278A18">
        <w:t>s</w:t>
      </w:r>
      <w:r w:rsidR="155E0794">
        <w:t xml:space="preserve"> cas, faute de mieux, nous appliquons un 0 à la place de ces données manquantes.</w:t>
      </w:r>
    </w:p>
    <w:p w14:paraId="72DE046A" w14:textId="47F0D98E" w:rsidR="5D462239" w:rsidRDefault="0F6D6A38" w:rsidP="001B6CA9">
      <w:pPr>
        <w:pStyle w:val="Titre2"/>
      </w:pPr>
      <w:bookmarkStart w:id="123" w:name="_Toc177052108"/>
      <w:r>
        <w:t>Proratisation des dépenses fiscales</w:t>
      </w:r>
      <w:bookmarkEnd w:id="123"/>
      <w:r>
        <w:t xml:space="preserve"> </w:t>
      </w:r>
    </w:p>
    <w:p w14:paraId="5601CDF9" w14:textId="4C3C19F5" w:rsidR="5B5F32AE" w:rsidRDefault="5B5F32AE" w:rsidP="1345D9E8">
      <w:r>
        <w:t xml:space="preserve">Certaines dépenses fiscales </w:t>
      </w:r>
      <w:r w:rsidR="2FC3C8EE">
        <w:t>(en particulier celles qui ne sont pas rattachées à la mission AAFAR) bénéficient</w:t>
      </w:r>
      <w:r>
        <w:t xml:space="preserve"> à plusieurs acteurs</w:t>
      </w:r>
      <w:r w:rsidR="5EEAA2FB">
        <w:t>, du système alimentaire ou non</w:t>
      </w:r>
      <w:r>
        <w:t>. Nous appliquons dans ces cas</w:t>
      </w:r>
      <w:r w:rsidR="003A24EA">
        <w:t>-</w:t>
      </w:r>
      <w:r>
        <w:t>là des proratas</w:t>
      </w:r>
      <w:r w:rsidR="001777BF">
        <w:t xml:space="preserve"> (cf. Tableau ci-dessous).</w:t>
      </w:r>
    </w:p>
    <w:tbl>
      <w:tblPr>
        <w:tblW w:w="97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705"/>
        <w:gridCol w:w="3060"/>
        <w:gridCol w:w="1215"/>
        <w:gridCol w:w="735"/>
        <w:gridCol w:w="3999"/>
      </w:tblGrid>
      <w:tr w:rsidR="719D9394" w14:paraId="61C39FA7" w14:textId="77777777" w:rsidTr="4D3339C6">
        <w:trPr>
          <w:trHeight w:val="300"/>
        </w:trPr>
        <w:tc>
          <w:tcPr>
            <w:tcW w:w="705" w:type="dxa"/>
            <w:shd w:val="clear" w:color="auto" w:fill="000000" w:themeFill="text1"/>
            <w:tcMar>
              <w:top w:w="15" w:type="dxa"/>
              <w:left w:w="15" w:type="dxa"/>
              <w:right w:w="15" w:type="dxa"/>
            </w:tcMar>
          </w:tcPr>
          <w:p w14:paraId="482848D7" w14:textId="4BE9C3E2" w:rsidR="4777DA1C" w:rsidRDefault="4777DA1C" w:rsidP="651DC750">
            <w:pPr>
              <w:jc w:val="left"/>
              <w:rPr>
                <w:rFonts w:eastAsia="Source Sans Pro Light" w:cs="Source Sans Pro Light"/>
                <w:color w:val="FFFFFF" w:themeColor="background1"/>
              </w:rPr>
            </w:pPr>
            <w:r w:rsidRPr="31E7085D">
              <w:rPr>
                <w:rFonts w:eastAsia="Source Sans Pro Light" w:cs="Source Sans Pro Light"/>
                <w:color w:val="FFFFFF" w:themeColor="background1"/>
              </w:rPr>
              <w:t>Code</w:t>
            </w:r>
          </w:p>
        </w:tc>
        <w:tc>
          <w:tcPr>
            <w:tcW w:w="3060" w:type="dxa"/>
            <w:shd w:val="clear" w:color="auto" w:fill="000000" w:themeFill="text1"/>
            <w:tcMar>
              <w:top w:w="15" w:type="dxa"/>
              <w:left w:w="15" w:type="dxa"/>
              <w:right w:w="15" w:type="dxa"/>
            </w:tcMar>
          </w:tcPr>
          <w:p w14:paraId="043E465B" w14:textId="32252668" w:rsidR="4777DA1C" w:rsidRDefault="4777DA1C" w:rsidP="651DC750">
            <w:pPr>
              <w:jc w:val="left"/>
              <w:rPr>
                <w:rFonts w:eastAsia="Source Sans Pro Light" w:cs="Source Sans Pro Light"/>
                <w:color w:val="FFFFFF" w:themeColor="background1"/>
              </w:rPr>
            </w:pPr>
            <w:r w:rsidRPr="31E7085D">
              <w:rPr>
                <w:rFonts w:eastAsia="Source Sans Pro Light" w:cs="Source Sans Pro Light"/>
                <w:color w:val="FFFFFF" w:themeColor="background1"/>
              </w:rPr>
              <w:t>Titre</w:t>
            </w:r>
          </w:p>
        </w:tc>
        <w:tc>
          <w:tcPr>
            <w:tcW w:w="1215" w:type="dxa"/>
            <w:shd w:val="clear" w:color="auto" w:fill="000000" w:themeFill="text1"/>
            <w:tcMar>
              <w:top w:w="15" w:type="dxa"/>
              <w:left w:w="15" w:type="dxa"/>
              <w:right w:w="15" w:type="dxa"/>
            </w:tcMar>
          </w:tcPr>
          <w:p w14:paraId="32C0D055" w14:textId="053E67B5" w:rsidR="31E7085D" w:rsidRPr="31E7085D" w:rsidRDefault="31E7085D" w:rsidP="31E7085D">
            <w:pPr>
              <w:jc w:val="left"/>
              <w:rPr>
                <w:rFonts w:eastAsia="Source Sans Pro Light" w:cs="Source Sans Pro Light"/>
                <w:color w:val="FFFFFF" w:themeColor="background1"/>
              </w:rPr>
            </w:pPr>
            <w:r w:rsidRPr="31E7085D">
              <w:rPr>
                <w:rFonts w:eastAsia="Source Sans Pro Light" w:cs="Source Sans Pro Light"/>
                <w:color w:val="FFFFFF" w:themeColor="background1"/>
              </w:rPr>
              <w:t>Bénéficiaire</w:t>
            </w:r>
          </w:p>
        </w:tc>
        <w:tc>
          <w:tcPr>
            <w:tcW w:w="735" w:type="dxa"/>
            <w:shd w:val="clear" w:color="auto" w:fill="000000" w:themeFill="text1"/>
            <w:tcMar>
              <w:top w:w="15" w:type="dxa"/>
              <w:left w:w="15" w:type="dxa"/>
              <w:right w:w="15" w:type="dxa"/>
            </w:tcMar>
          </w:tcPr>
          <w:p w14:paraId="5E28E718" w14:textId="5D317E97" w:rsidR="4777DA1C" w:rsidRDefault="4777DA1C" w:rsidP="651DC750">
            <w:pPr>
              <w:jc w:val="left"/>
              <w:rPr>
                <w:rFonts w:eastAsia="Source Sans Pro Light" w:cs="Source Sans Pro Light"/>
                <w:color w:val="FFFFFF" w:themeColor="background1"/>
              </w:rPr>
            </w:pPr>
            <w:r w:rsidRPr="31E7085D">
              <w:rPr>
                <w:rFonts w:eastAsia="Source Sans Pro Light" w:cs="Source Sans Pro Light"/>
                <w:color w:val="FFFFFF" w:themeColor="background1"/>
              </w:rPr>
              <w:t>Prorata</w:t>
            </w:r>
          </w:p>
        </w:tc>
        <w:tc>
          <w:tcPr>
            <w:tcW w:w="3999" w:type="dxa"/>
            <w:shd w:val="clear" w:color="auto" w:fill="000000" w:themeFill="text1"/>
            <w:tcMar>
              <w:top w:w="15" w:type="dxa"/>
              <w:left w:w="15" w:type="dxa"/>
              <w:right w:w="15" w:type="dxa"/>
            </w:tcMar>
          </w:tcPr>
          <w:p w14:paraId="5D54D634" w14:textId="1F77346C" w:rsidR="719D9394" w:rsidRDefault="4777DA1C" w:rsidP="651DC750">
            <w:pPr>
              <w:jc w:val="left"/>
              <w:rPr>
                <w:rFonts w:eastAsia="Source Sans Pro Light" w:cs="Source Sans Pro Light"/>
                <w:color w:val="FFFFFF" w:themeColor="background1"/>
              </w:rPr>
            </w:pPr>
            <w:r w:rsidRPr="31E7085D">
              <w:rPr>
                <w:rFonts w:eastAsia="Source Sans Pro Light" w:cs="Source Sans Pro Light"/>
                <w:color w:val="FFFFFF" w:themeColor="background1"/>
              </w:rPr>
              <w:t>Source prorata</w:t>
            </w:r>
          </w:p>
        </w:tc>
      </w:tr>
      <w:tr w:rsidR="6C435CBC" w14:paraId="03E93D94" w14:textId="77777777" w:rsidTr="4D3339C6">
        <w:trPr>
          <w:trHeight w:val="300"/>
        </w:trPr>
        <w:tc>
          <w:tcPr>
            <w:tcW w:w="705" w:type="dxa"/>
            <w:tcMar>
              <w:top w:w="15" w:type="dxa"/>
              <w:left w:w="15" w:type="dxa"/>
              <w:right w:w="15" w:type="dxa"/>
            </w:tcMar>
          </w:tcPr>
          <w:p w14:paraId="17757D6C" w14:textId="41E30858"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090202</w:t>
            </w:r>
          </w:p>
        </w:tc>
        <w:tc>
          <w:tcPr>
            <w:tcW w:w="3060" w:type="dxa"/>
            <w:tcMar>
              <w:top w:w="15" w:type="dxa"/>
              <w:left w:w="15" w:type="dxa"/>
              <w:right w:w="15" w:type="dxa"/>
            </w:tcMar>
          </w:tcPr>
          <w:p w14:paraId="652827AD" w14:textId="78D0D378"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 xml:space="preserve">Dégrèvement exceptionnel de la cotisation foncière des entreprises au titre de 2020 au profit des entreprises de taille petite ou moyenne des secteurs </w:t>
            </w:r>
            <w:r w:rsidRPr="6C435CBC">
              <w:rPr>
                <w:rFonts w:eastAsia="Source Sans Pro Light" w:cs="Source Sans Pro Light"/>
                <w:color w:val="000000" w:themeColor="text1"/>
              </w:rPr>
              <w:lastRenderedPageBreak/>
              <w:t>relevant du tourisme, de l’hôtellerie, de la restauration, du sport, de la culture, du transport aérien et de l’événementiel particulièrement affectés par la crise sanitaire</w:t>
            </w:r>
          </w:p>
        </w:tc>
        <w:tc>
          <w:tcPr>
            <w:tcW w:w="1215" w:type="dxa"/>
            <w:tcMar>
              <w:top w:w="15" w:type="dxa"/>
              <w:left w:w="15" w:type="dxa"/>
              <w:right w:w="15" w:type="dxa"/>
            </w:tcMar>
          </w:tcPr>
          <w:p w14:paraId="2AC33766" w14:textId="2904A2D2"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lastRenderedPageBreak/>
              <w:t>RHD</w:t>
            </w:r>
          </w:p>
        </w:tc>
        <w:tc>
          <w:tcPr>
            <w:tcW w:w="735" w:type="dxa"/>
            <w:tcMar>
              <w:top w:w="15" w:type="dxa"/>
              <w:left w:w="15" w:type="dxa"/>
              <w:right w:w="15" w:type="dxa"/>
            </w:tcMar>
          </w:tcPr>
          <w:p w14:paraId="7B871C56" w14:textId="1303C418"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11%</w:t>
            </w:r>
          </w:p>
        </w:tc>
        <w:tc>
          <w:tcPr>
            <w:tcW w:w="3999" w:type="dxa"/>
            <w:tcMar>
              <w:top w:w="15" w:type="dxa"/>
              <w:left w:w="15" w:type="dxa"/>
              <w:right w:w="15" w:type="dxa"/>
            </w:tcMar>
          </w:tcPr>
          <w:p w14:paraId="74B49F39" w14:textId="4EAF111F"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 xml:space="preserve">En 2019, d'après les données ESANE de l'INSEE, les immobilisations foncières étaient de 4 674 M€ dans le secteur de l'hébergement, 686 M€ dans la restauration, 36 M€ en transport aérien, 40+63+895=997 </w:t>
            </w:r>
            <w:r w:rsidRPr="6C435CBC">
              <w:rPr>
                <w:rFonts w:eastAsia="Source Sans Pro Light" w:cs="Source Sans Pro Light"/>
                <w:color w:val="000000" w:themeColor="text1"/>
              </w:rPr>
              <w:lastRenderedPageBreak/>
              <w:t>M€ dans le secteur des activités sportives, culturelles et touristiques. La restauration représente 11 % de ce total</w:t>
            </w:r>
          </w:p>
        </w:tc>
      </w:tr>
      <w:tr w:rsidR="6C435CBC" w14:paraId="2B47F76A" w14:textId="77777777" w:rsidTr="4D3339C6">
        <w:trPr>
          <w:trHeight w:val="300"/>
        </w:trPr>
        <w:tc>
          <w:tcPr>
            <w:tcW w:w="705" w:type="dxa"/>
            <w:vMerge w:val="restart"/>
            <w:tcMar>
              <w:top w:w="15" w:type="dxa"/>
              <w:left w:w="15" w:type="dxa"/>
              <w:right w:w="15" w:type="dxa"/>
            </w:tcMar>
          </w:tcPr>
          <w:p w14:paraId="3B694DF3" w14:textId="26322DE1"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lastRenderedPageBreak/>
              <w:t>200302</w:t>
            </w:r>
          </w:p>
        </w:tc>
        <w:tc>
          <w:tcPr>
            <w:tcW w:w="3060" w:type="dxa"/>
            <w:vMerge w:val="restart"/>
            <w:tcMar>
              <w:top w:w="15" w:type="dxa"/>
              <w:left w:w="15" w:type="dxa"/>
              <w:right w:w="15" w:type="dxa"/>
            </w:tcMar>
          </w:tcPr>
          <w:p w14:paraId="78A1926A" w14:textId="6B7EBE6C"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Crédit d'impôt en faveur de la recherche</w:t>
            </w:r>
          </w:p>
        </w:tc>
        <w:tc>
          <w:tcPr>
            <w:tcW w:w="1215" w:type="dxa"/>
            <w:tcMar>
              <w:top w:w="15" w:type="dxa"/>
              <w:left w:w="15" w:type="dxa"/>
              <w:right w:w="15" w:type="dxa"/>
            </w:tcMar>
          </w:tcPr>
          <w:p w14:paraId="6549D518" w14:textId="6C7FF041"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RHD</w:t>
            </w:r>
          </w:p>
        </w:tc>
        <w:tc>
          <w:tcPr>
            <w:tcW w:w="735" w:type="dxa"/>
            <w:tcMar>
              <w:top w:w="15" w:type="dxa"/>
              <w:left w:w="15" w:type="dxa"/>
              <w:right w:w="15" w:type="dxa"/>
            </w:tcMar>
          </w:tcPr>
          <w:p w14:paraId="6D314BE6" w14:textId="0EEF4089"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5E2BBD71" w14:textId="3C02478E"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6FF78C8E" w14:textId="77777777" w:rsidTr="4D3339C6">
        <w:trPr>
          <w:trHeight w:val="300"/>
        </w:trPr>
        <w:tc>
          <w:tcPr>
            <w:tcW w:w="705" w:type="dxa"/>
            <w:vMerge/>
            <w:tcMar>
              <w:top w:w="15" w:type="dxa"/>
              <w:left w:w="15" w:type="dxa"/>
              <w:right w:w="15" w:type="dxa"/>
            </w:tcMar>
          </w:tcPr>
          <w:p w14:paraId="3A486A0B" w14:textId="40F97F1D"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07911DEE" w14:textId="3E8E4B2F"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4914BFFC" w14:textId="30B91E93"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PRODINTR</w:t>
            </w:r>
          </w:p>
        </w:tc>
        <w:tc>
          <w:tcPr>
            <w:tcW w:w="735" w:type="dxa"/>
            <w:tcMar>
              <w:top w:w="15" w:type="dxa"/>
              <w:left w:w="15" w:type="dxa"/>
              <w:right w:w="15" w:type="dxa"/>
            </w:tcMar>
          </w:tcPr>
          <w:p w14:paraId="0ED1B58A" w14:textId="486962BF"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5C543FC9" w14:textId="20E30E7B"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43FFFA0F" w14:textId="77777777" w:rsidTr="4D3339C6">
        <w:trPr>
          <w:trHeight w:val="300"/>
        </w:trPr>
        <w:tc>
          <w:tcPr>
            <w:tcW w:w="705" w:type="dxa"/>
            <w:vMerge/>
            <w:tcMar>
              <w:top w:w="15" w:type="dxa"/>
              <w:left w:w="15" w:type="dxa"/>
              <w:right w:w="15" w:type="dxa"/>
            </w:tcMar>
          </w:tcPr>
          <w:p w14:paraId="3B5F384F" w14:textId="3DBF240D"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737863D5" w14:textId="68D6D34D"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66880940" w14:textId="1B798D48"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DISTRIB</w:t>
            </w:r>
          </w:p>
        </w:tc>
        <w:tc>
          <w:tcPr>
            <w:tcW w:w="735" w:type="dxa"/>
            <w:tcMar>
              <w:top w:w="15" w:type="dxa"/>
              <w:left w:w="15" w:type="dxa"/>
              <w:right w:w="15" w:type="dxa"/>
            </w:tcMar>
          </w:tcPr>
          <w:p w14:paraId="4B461DBB" w14:textId="50E8FB1A"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5DC92155" w14:textId="781CCA3A"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1B590B6F" w14:textId="77777777" w:rsidTr="4D3339C6">
        <w:trPr>
          <w:trHeight w:val="300"/>
        </w:trPr>
        <w:tc>
          <w:tcPr>
            <w:tcW w:w="705" w:type="dxa"/>
            <w:vMerge/>
            <w:tcMar>
              <w:top w:w="15" w:type="dxa"/>
              <w:left w:w="15" w:type="dxa"/>
              <w:right w:w="15" w:type="dxa"/>
            </w:tcMar>
          </w:tcPr>
          <w:p w14:paraId="1EDE1A23" w14:textId="02FEAEC7"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4925C62C" w14:textId="7F83C1C2"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22AA8C65" w14:textId="0EA091BE"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PRODAGRI</w:t>
            </w:r>
          </w:p>
        </w:tc>
        <w:tc>
          <w:tcPr>
            <w:tcW w:w="735" w:type="dxa"/>
            <w:tcMar>
              <w:top w:w="15" w:type="dxa"/>
              <w:left w:w="15" w:type="dxa"/>
              <w:right w:w="15" w:type="dxa"/>
            </w:tcMar>
          </w:tcPr>
          <w:p w14:paraId="474AF41E" w14:textId="13F3DE17"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1%</w:t>
            </w:r>
          </w:p>
        </w:tc>
        <w:tc>
          <w:tcPr>
            <w:tcW w:w="3999" w:type="dxa"/>
            <w:tcMar>
              <w:top w:w="15" w:type="dxa"/>
              <w:left w:w="15" w:type="dxa"/>
              <w:right w:w="15" w:type="dxa"/>
            </w:tcMar>
          </w:tcPr>
          <w:p w14:paraId="740FE203" w14:textId="6A1B21EF" w:rsidR="6C435CBC" w:rsidRDefault="6C435CBC" w:rsidP="651DC750">
            <w:pPr>
              <w:spacing w:after="0"/>
              <w:jc w:val="left"/>
              <w:rPr>
                <w:rFonts w:eastAsia="Source Sans Pro Light" w:cs="Source Sans Pro Light"/>
                <w:color w:val="000000" w:themeColor="text1"/>
              </w:rPr>
            </w:pPr>
            <w:r w:rsidRPr="0CB27031">
              <w:rPr>
                <w:rFonts w:eastAsia="Source Sans Pro Light" w:cs="Source Sans Pro Light"/>
                <w:color w:val="000000" w:themeColor="text1"/>
              </w:rPr>
              <w:t xml:space="preserve">D'après les </w:t>
            </w:r>
            <w:hyperlink r:id="rId22">
              <w:r w:rsidRPr="0CB27031">
                <w:rPr>
                  <w:rStyle w:val="Lienhypertexte"/>
                  <w:rFonts w:eastAsia="Source Sans Pro Light" w:cs="Source Sans Pro Light"/>
                </w:rPr>
                <w:t>tableaux de la DGFiP</w:t>
              </w:r>
              <w:r w:rsidR="28744399" w:rsidRPr="0CB27031">
                <w:rPr>
                  <w:rStyle w:val="Lienhypertexte"/>
                  <w:rFonts w:eastAsia="Source Sans Pro Light" w:cs="Source Sans Pro Light"/>
                </w:rPr>
                <w:t>,</w:t>
              </w:r>
            </w:hyperlink>
            <w:r w:rsidRPr="6C435CBC">
              <w:rPr>
                <w:rFonts w:eastAsia="Source Sans Pro Light" w:cs="Source Sans Pro Light"/>
                <w:color w:val="000000" w:themeColor="text1"/>
              </w:rPr>
              <w:t xml:space="preserve"> la part du secteur agricole dans le CIR est stable à 0,9% sur la période </w:t>
            </w:r>
            <w:r w:rsidRPr="31E7085D">
              <w:rPr>
                <w:rFonts w:eastAsia="Source Sans Pro Light" w:cs="Source Sans Pro Light"/>
                <w:color w:val="000000" w:themeColor="text1"/>
              </w:rPr>
              <w:t>201</w:t>
            </w:r>
            <w:r w:rsidR="0DA4021D" w:rsidRPr="31E7085D">
              <w:rPr>
                <w:rFonts w:eastAsia="Source Sans Pro Light" w:cs="Source Sans Pro Light"/>
                <w:color w:val="000000" w:themeColor="text1"/>
              </w:rPr>
              <w:t>8</w:t>
            </w:r>
            <w:r w:rsidRPr="6C435CBC">
              <w:rPr>
                <w:rFonts w:eastAsia="Source Sans Pro Light" w:cs="Source Sans Pro Light"/>
                <w:color w:val="000000" w:themeColor="text1"/>
              </w:rPr>
              <w:t>-2021</w:t>
            </w:r>
          </w:p>
        </w:tc>
      </w:tr>
      <w:tr w:rsidR="6C435CBC" w14:paraId="6C52D96A" w14:textId="77777777" w:rsidTr="4D3339C6">
        <w:trPr>
          <w:trHeight w:val="300"/>
        </w:trPr>
        <w:tc>
          <w:tcPr>
            <w:tcW w:w="705" w:type="dxa"/>
            <w:vMerge/>
            <w:tcMar>
              <w:top w:w="15" w:type="dxa"/>
              <w:left w:w="15" w:type="dxa"/>
              <w:right w:w="15" w:type="dxa"/>
            </w:tcMar>
          </w:tcPr>
          <w:p w14:paraId="56C0A3E0" w14:textId="5FBF44C8"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2EEF30B9" w14:textId="47BE976E"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0DD1EC90" w14:textId="2EB8AB3A"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TRANSFO</w:t>
            </w:r>
          </w:p>
        </w:tc>
        <w:tc>
          <w:tcPr>
            <w:tcW w:w="735" w:type="dxa"/>
            <w:tcMar>
              <w:top w:w="15" w:type="dxa"/>
              <w:left w:w="15" w:type="dxa"/>
              <w:right w:w="15" w:type="dxa"/>
            </w:tcMar>
          </w:tcPr>
          <w:p w14:paraId="54B34DF8" w14:textId="01FD92CA"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8%</w:t>
            </w:r>
          </w:p>
        </w:tc>
        <w:tc>
          <w:tcPr>
            <w:tcW w:w="3999" w:type="dxa"/>
            <w:tcMar>
              <w:top w:w="15" w:type="dxa"/>
              <w:left w:w="15" w:type="dxa"/>
              <w:right w:w="15" w:type="dxa"/>
            </w:tcMar>
          </w:tcPr>
          <w:p w14:paraId="39EF201F" w14:textId="2C12E6E9"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 xml:space="preserve">D'après les </w:t>
            </w:r>
            <w:hyperlink r:id="rId23">
              <w:r w:rsidRPr="41C35F1C">
                <w:rPr>
                  <w:rStyle w:val="Lienhypertexte"/>
                  <w:rFonts w:eastAsia="Source Sans Pro Light" w:cs="Source Sans Pro Light"/>
                </w:rPr>
                <w:t>tableaux de la DGFiP</w:t>
              </w:r>
            </w:hyperlink>
            <w:r w:rsidRPr="41C35F1C">
              <w:rPr>
                <w:rFonts w:eastAsia="Source Sans Pro Light" w:cs="Source Sans Pro Light"/>
                <w:color w:val="000000" w:themeColor="text1"/>
              </w:rPr>
              <w:t>,</w:t>
            </w:r>
            <w:r w:rsidRPr="6C435CBC">
              <w:rPr>
                <w:rFonts w:eastAsia="Source Sans Pro Light" w:cs="Source Sans Pro Light"/>
                <w:color w:val="000000" w:themeColor="text1"/>
              </w:rPr>
              <w:t xml:space="preserve"> la part du secteur des industries dans le CIR est stable à </w:t>
            </w:r>
            <w:r w:rsidRPr="31E7085D">
              <w:rPr>
                <w:rFonts w:eastAsia="Source Sans Pro Light" w:cs="Source Sans Pro Light"/>
                <w:color w:val="000000" w:themeColor="text1"/>
              </w:rPr>
              <w:t>4</w:t>
            </w:r>
            <w:r w:rsidR="3F821714" w:rsidRPr="31E7085D">
              <w:rPr>
                <w:rFonts w:eastAsia="Source Sans Pro Light" w:cs="Source Sans Pro Light"/>
                <w:color w:val="000000" w:themeColor="text1"/>
              </w:rPr>
              <w:t>1</w:t>
            </w:r>
            <w:r w:rsidRPr="6C435CBC">
              <w:rPr>
                <w:rFonts w:eastAsia="Source Sans Pro Light" w:cs="Source Sans Pro Light"/>
                <w:color w:val="000000" w:themeColor="text1"/>
              </w:rPr>
              <w:t xml:space="preserve"> % sur la période </w:t>
            </w:r>
            <w:r w:rsidRPr="31E7085D">
              <w:rPr>
                <w:rFonts w:eastAsia="Source Sans Pro Light" w:cs="Source Sans Pro Light"/>
                <w:color w:val="000000" w:themeColor="text1"/>
              </w:rPr>
              <w:t>201</w:t>
            </w:r>
            <w:r w:rsidR="15D7228A" w:rsidRPr="31E7085D">
              <w:rPr>
                <w:rFonts w:eastAsia="Source Sans Pro Light" w:cs="Source Sans Pro Light"/>
                <w:color w:val="000000" w:themeColor="text1"/>
              </w:rPr>
              <w:t>8</w:t>
            </w:r>
            <w:r w:rsidRPr="31E7085D">
              <w:rPr>
                <w:rFonts w:eastAsia="Source Sans Pro Light" w:cs="Source Sans Pro Light"/>
                <w:color w:val="000000" w:themeColor="text1"/>
              </w:rPr>
              <w:t>-202</w:t>
            </w:r>
            <w:r w:rsidR="3483E946" w:rsidRPr="31E7085D">
              <w:rPr>
                <w:rFonts w:eastAsia="Source Sans Pro Light" w:cs="Source Sans Pro Light"/>
                <w:color w:val="000000" w:themeColor="text1"/>
              </w:rPr>
              <w:t>2</w:t>
            </w:r>
            <w:r w:rsidRPr="31E7085D">
              <w:rPr>
                <w:rFonts w:eastAsia="Source Sans Pro Light" w:cs="Source Sans Pro Light"/>
                <w:color w:val="000000" w:themeColor="text1"/>
              </w:rPr>
              <w:t>.</w:t>
            </w:r>
            <w:r>
              <w:br/>
            </w:r>
            <w:r w:rsidRPr="6C435CBC">
              <w:rPr>
                <w:rFonts w:eastAsia="Source Sans Pro Light" w:cs="Source Sans Pro Light"/>
                <w:color w:val="000000" w:themeColor="text1"/>
              </w:rPr>
              <w:t xml:space="preserve">D'après </w:t>
            </w:r>
            <w:r w:rsidR="321403DA" w:rsidRPr="31E7085D">
              <w:rPr>
                <w:rFonts w:eastAsia="Source Sans Pro Light" w:cs="Source Sans Pro Light"/>
                <w:color w:val="000000" w:themeColor="text1"/>
              </w:rPr>
              <w:t>un expert</w:t>
            </w:r>
            <w:r w:rsidRPr="6C435CBC">
              <w:rPr>
                <w:rFonts w:eastAsia="Source Sans Pro Light" w:cs="Source Sans Pro Light"/>
                <w:color w:val="000000" w:themeColor="text1"/>
              </w:rPr>
              <w:t xml:space="preserve"> de France Stratégie (cf CICE</w:t>
            </w:r>
            <w:r w:rsidRPr="31E7085D">
              <w:rPr>
                <w:rFonts w:eastAsia="Source Sans Pro Light" w:cs="Source Sans Pro Light"/>
                <w:color w:val="000000" w:themeColor="text1"/>
              </w:rPr>
              <w:t>), l</w:t>
            </w:r>
            <w:r w:rsidR="69ABF09F" w:rsidRPr="31E7085D">
              <w:rPr>
                <w:rFonts w:eastAsia="Source Sans Pro Light" w:cs="Source Sans Pro Light"/>
                <w:color w:val="000000" w:themeColor="text1"/>
              </w:rPr>
              <w:t>e</w:t>
            </w:r>
            <w:r w:rsidRPr="6C435CBC">
              <w:rPr>
                <w:rFonts w:eastAsia="Source Sans Pro Light" w:cs="Source Sans Pro Light"/>
                <w:color w:val="000000" w:themeColor="text1"/>
              </w:rPr>
              <w:t xml:space="preserve"> sous</w:t>
            </w:r>
            <w:r w:rsidR="58502C61" w:rsidRPr="53917A99">
              <w:rPr>
                <w:rFonts w:eastAsia="Source Sans Pro Light" w:cs="Source Sans Pro Light"/>
                <w:color w:val="000000" w:themeColor="text1"/>
              </w:rPr>
              <w:t>-</w:t>
            </w:r>
            <w:r w:rsidRPr="6C435CBC">
              <w:rPr>
                <w:rFonts w:eastAsia="Source Sans Pro Light" w:cs="Source Sans Pro Light"/>
                <w:color w:val="000000" w:themeColor="text1"/>
              </w:rPr>
              <w:t xml:space="preserve">secteur de la transformation alimentaire </w:t>
            </w:r>
            <w:r w:rsidR="3A75BDB1" w:rsidRPr="31E7085D">
              <w:rPr>
                <w:rFonts w:eastAsia="Source Sans Pro Light" w:cs="Source Sans Pro Light"/>
                <w:color w:val="000000" w:themeColor="text1"/>
              </w:rPr>
              <w:t xml:space="preserve">a bénéficié de </w:t>
            </w:r>
            <w:r w:rsidRPr="6C435CBC">
              <w:rPr>
                <w:rFonts w:eastAsia="Source Sans Pro Light" w:cs="Source Sans Pro Light"/>
                <w:color w:val="000000" w:themeColor="text1"/>
              </w:rPr>
              <w:t>815 M</w:t>
            </w:r>
            <w:r w:rsidR="3A75BDB1" w:rsidRPr="31E7085D">
              <w:rPr>
                <w:rFonts w:eastAsia="Source Sans Pro Light" w:cs="Source Sans Pro Light"/>
                <w:color w:val="000000" w:themeColor="text1"/>
              </w:rPr>
              <w:t xml:space="preserve">€ de </w:t>
            </w:r>
            <w:r w:rsidRPr="31E7085D">
              <w:rPr>
                <w:rFonts w:eastAsia="Source Sans Pro Light" w:cs="Source Sans Pro Light"/>
                <w:color w:val="000000" w:themeColor="text1"/>
              </w:rPr>
              <w:t xml:space="preserve">CICE </w:t>
            </w:r>
            <w:r w:rsidR="4D75089E" w:rsidRPr="31E7085D">
              <w:rPr>
                <w:rFonts w:eastAsia="Source Sans Pro Light" w:cs="Source Sans Pro Light"/>
                <w:color w:val="000000" w:themeColor="text1"/>
              </w:rPr>
              <w:t>en 2018, soit</w:t>
            </w:r>
            <w:r w:rsidRPr="6C435CBC">
              <w:rPr>
                <w:rFonts w:eastAsia="Source Sans Pro Light" w:cs="Source Sans Pro Light"/>
                <w:color w:val="000000" w:themeColor="text1"/>
              </w:rPr>
              <w:t xml:space="preserve"> 20</w:t>
            </w:r>
            <w:r w:rsidR="46C63ECC" w:rsidRPr="31E7085D">
              <w:rPr>
                <w:rFonts w:eastAsia="Source Sans Pro Light" w:cs="Source Sans Pro Light"/>
                <w:color w:val="000000" w:themeColor="text1"/>
              </w:rPr>
              <w:t xml:space="preserve"> </w:t>
            </w:r>
            <w:r w:rsidRPr="31E7085D">
              <w:rPr>
                <w:rFonts w:eastAsia="Source Sans Pro Light" w:cs="Source Sans Pro Light"/>
                <w:color w:val="000000" w:themeColor="text1"/>
              </w:rPr>
              <w:t>% d</w:t>
            </w:r>
            <w:r w:rsidR="0A2385CA" w:rsidRPr="31E7085D">
              <w:rPr>
                <w:rFonts w:eastAsia="Source Sans Pro Light" w:cs="Source Sans Pro Light"/>
                <w:color w:val="000000" w:themeColor="text1"/>
              </w:rPr>
              <w:t>u total</w:t>
            </w:r>
            <w:r w:rsidRPr="6C435CBC">
              <w:rPr>
                <w:rFonts w:eastAsia="Source Sans Pro Light" w:cs="Source Sans Pro Light"/>
                <w:color w:val="000000" w:themeColor="text1"/>
              </w:rPr>
              <w:t xml:space="preserve"> dont </w:t>
            </w:r>
            <w:r w:rsidR="0A2385CA" w:rsidRPr="31E7085D">
              <w:rPr>
                <w:rFonts w:eastAsia="Source Sans Pro Light" w:cs="Source Sans Pro Light"/>
                <w:color w:val="000000" w:themeColor="text1"/>
              </w:rPr>
              <w:t>a</w:t>
            </w:r>
            <w:r w:rsidRPr="31E7085D">
              <w:rPr>
                <w:rFonts w:eastAsia="Source Sans Pro Light" w:cs="Source Sans Pro Light"/>
                <w:color w:val="000000" w:themeColor="text1"/>
              </w:rPr>
              <w:t xml:space="preserve"> bénéfici</w:t>
            </w:r>
            <w:r w:rsidR="28A6EC42" w:rsidRPr="31E7085D">
              <w:rPr>
                <w:rFonts w:eastAsia="Source Sans Pro Light" w:cs="Source Sans Pro Light"/>
                <w:color w:val="000000" w:themeColor="text1"/>
              </w:rPr>
              <w:t>é</w:t>
            </w:r>
            <w:r w:rsidRPr="6C435CBC">
              <w:rPr>
                <w:rFonts w:eastAsia="Source Sans Pro Light" w:cs="Source Sans Pro Light"/>
                <w:color w:val="000000" w:themeColor="text1"/>
              </w:rPr>
              <w:t xml:space="preserve"> le secteur des industries (3 </w:t>
            </w:r>
            <w:r w:rsidR="404773E8" w:rsidRPr="31E7085D">
              <w:rPr>
                <w:rFonts w:eastAsia="Source Sans Pro Light" w:cs="Source Sans Pro Light"/>
                <w:color w:val="000000" w:themeColor="text1"/>
              </w:rPr>
              <w:t>884</w:t>
            </w:r>
            <w:r w:rsidRPr="6C435CBC">
              <w:rPr>
                <w:rFonts w:eastAsia="Source Sans Pro Light" w:cs="Source Sans Pro Light"/>
                <w:color w:val="000000" w:themeColor="text1"/>
              </w:rPr>
              <w:t xml:space="preserve"> M</w:t>
            </w:r>
            <w:r w:rsidRPr="31E7085D">
              <w:rPr>
                <w:rFonts w:eastAsia="Source Sans Pro Light" w:cs="Source Sans Pro Light"/>
                <w:color w:val="000000" w:themeColor="text1"/>
              </w:rPr>
              <w:t>€).</w:t>
            </w:r>
            <w:r w:rsidRPr="6C435CBC">
              <w:rPr>
                <w:rFonts w:eastAsia="Source Sans Pro Light" w:cs="Source Sans Pro Light"/>
                <w:color w:val="000000" w:themeColor="text1"/>
              </w:rPr>
              <w:t xml:space="preserve"> Nous faisons l'hypothèse que l'ordre de grandeur est le même pour le CIR</w:t>
            </w:r>
            <w:r w:rsidR="78DF076D" w:rsidRPr="31E7085D">
              <w:rPr>
                <w:rFonts w:eastAsia="Source Sans Pro Light" w:cs="Source Sans Pro Light"/>
                <w:color w:val="000000" w:themeColor="text1"/>
              </w:rPr>
              <w:t xml:space="preserve">. </w:t>
            </w:r>
            <w:r w:rsidR="4EDF0BDF" w:rsidRPr="31E7085D">
              <w:rPr>
                <w:rFonts w:eastAsia="Source Sans Pro Light" w:cs="Source Sans Pro Light"/>
                <w:color w:val="000000" w:themeColor="text1"/>
              </w:rPr>
              <w:t>Avec cette hypothèse, les</w:t>
            </w:r>
            <w:r w:rsidR="78DF076D" w:rsidRPr="31E7085D">
              <w:rPr>
                <w:rFonts w:eastAsia="Source Sans Pro Light" w:cs="Source Sans Pro Light"/>
                <w:color w:val="000000" w:themeColor="text1"/>
              </w:rPr>
              <w:t xml:space="preserve"> montants de CIR dont bénéficient la </w:t>
            </w:r>
            <w:r w:rsidR="61D5C0EA" w:rsidRPr="31E7085D">
              <w:rPr>
                <w:rFonts w:eastAsia="Source Sans Pro Light" w:cs="Source Sans Pro Light"/>
                <w:color w:val="000000" w:themeColor="text1"/>
              </w:rPr>
              <w:t>t</w:t>
            </w:r>
            <w:r w:rsidRPr="31E7085D">
              <w:rPr>
                <w:rFonts w:eastAsia="Source Sans Pro Light" w:cs="Source Sans Pro Light"/>
                <w:color w:val="000000" w:themeColor="text1"/>
              </w:rPr>
              <w:t>ransformation alimentaire représenterai</w:t>
            </w:r>
            <w:r w:rsidR="2A62C840" w:rsidRPr="31E7085D">
              <w:rPr>
                <w:rFonts w:eastAsia="Source Sans Pro Light" w:cs="Source Sans Pro Light"/>
                <w:color w:val="000000" w:themeColor="text1"/>
              </w:rPr>
              <w:t xml:space="preserve">ent </w:t>
            </w:r>
            <w:r w:rsidR="6D6C17A6" w:rsidRPr="31E7085D">
              <w:rPr>
                <w:rFonts w:eastAsia="Source Sans Pro Light" w:cs="Source Sans Pro Light"/>
                <w:color w:val="000000" w:themeColor="text1"/>
              </w:rPr>
              <w:t>8% (40%*20%) du montant total de CIR.</w:t>
            </w:r>
          </w:p>
        </w:tc>
      </w:tr>
      <w:tr w:rsidR="4D3339C6" w14:paraId="6A132FD5" w14:textId="77777777" w:rsidTr="4D3339C6">
        <w:trPr>
          <w:trHeight w:val="300"/>
        </w:trPr>
        <w:tc>
          <w:tcPr>
            <w:tcW w:w="705" w:type="dxa"/>
            <w:vMerge w:val="restart"/>
            <w:tcMar>
              <w:top w:w="15" w:type="dxa"/>
              <w:left w:w="15" w:type="dxa"/>
              <w:right w:w="15" w:type="dxa"/>
            </w:tcMar>
          </w:tcPr>
          <w:p w14:paraId="0233EA5D" w14:textId="51A7ECF9"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210309</w:t>
            </w:r>
          </w:p>
        </w:tc>
        <w:tc>
          <w:tcPr>
            <w:tcW w:w="3060" w:type="dxa"/>
            <w:vMerge w:val="restart"/>
            <w:tcMar>
              <w:top w:w="15" w:type="dxa"/>
              <w:left w:w="15" w:type="dxa"/>
              <w:right w:w="15" w:type="dxa"/>
            </w:tcMar>
          </w:tcPr>
          <w:p w14:paraId="453DF60A" w14:textId="38E14323" w:rsidR="45749BDB" w:rsidRDefault="45749BDB" w:rsidP="4D3339C6">
            <w:pPr>
              <w:jc w:val="left"/>
            </w:pPr>
            <w:r w:rsidRPr="4D3339C6">
              <w:rPr>
                <w:rFonts w:eastAsia="Source Sans Pro Light" w:cs="Source Sans Pro Light"/>
              </w:rPr>
              <w:t>Réduction d'impôt au titre des dons faits par les entreprises à des œuvres ou organismes d'intérêt général</w:t>
            </w:r>
          </w:p>
        </w:tc>
        <w:tc>
          <w:tcPr>
            <w:tcW w:w="1215" w:type="dxa"/>
            <w:tcMar>
              <w:top w:w="15" w:type="dxa"/>
              <w:left w:w="15" w:type="dxa"/>
              <w:right w:w="15" w:type="dxa"/>
            </w:tcMar>
          </w:tcPr>
          <w:p w14:paraId="67E2D944" w14:textId="1A5B0F0F"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PRODINTR</w:t>
            </w:r>
          </w:p>
        </w:tc>
        <w:tc>
          <w:tcPr>
            <w:tcW w:w="735" w:type="dxa"/>
            <w:tcMar>
              <w:top w:w="15" w:type="dxa"/>
              <w:left w:w="15" w:type="dxa"/>
              <w:right w:w="15" w:type="dxa"/>
            </w:tcMar>
          </w:tcPr>
          <w:p w14:paraId="4EF047C8" w14:textId="0F76BD3C" w:rsidR="4D3339C6" w:rsidRDefault="4D3339C6" w:rsidP="4D3339C6">
            <w:pPr>
              <w:spacing w:after="0"/>
              <w:jc w:val="center"/>
              <w:rPr>
                <w:rFonts w:eastAsia="Source Sans Pro Light" w:cs="Source Sans Pro Light"/>
                <w:color w:val="000000" w:themeColor="text1"/>
              </w:rPr>
            </w:pPr>
            <w:r w:rsidRPr="4D3339C6">
              <w:rPr>
                <w:rFonts w:eastAsia="Source Sans Pro Light" w:cs="Source Sans Pro Light"/>
                <w:color w:val="000000" w:themeColor="text1"/>
              </w:rPr>
              <w:t>0%</w:t>
            </w:r>
          </w:p>
        </w:tc>
        <w:tc>
          <w:tcPr>
            <w:tcW w:w="3999" w:type="dxa"/>
            <w:tcMar>
              <w:top w:w="15" w:type="dxa"/>
              <w:left w:w="15" w:type="dxa"/>
              <w:right w:w="15" w:type="dxa"/>
            </w:tcMar>
          </w:tcPr>
          <w:p w14:paraId="2DF4FCB4" w14:textId="2D482658" w:rsidR="4D3339C6" w:rsidRDefault="4D3339C6" w:rsidP="4D3339C6">
            <w:pPr>
              <w:spacing w:after="0"/>
              <w:jc w:val="left"/>
              <w:rPr>
                <w:rFonts w:eastAsia="Source Sans Pro Light" w:cs="Source Sans Pro Light"/>
                <w:color w:val="000000" w:themeColor="text1"/>
              </w:rPr>
            </w:pPr>
            <w:r w:rsidRPr="4D3339C6">
              <w:rPr>
                <w:rFonts w:eastAsia="Source Sans Pro Light" w:cs="Source Sans Pro Light"/>
                <w:color w:val="000000" w:themeColor="text1"/>
              </w:rPr>
              <w:t>FAUTE DE MIEUX</w:t>
            </w:r>
          </w:p>
        </w:tc>
      </w:tr>
      <w:tr w:rsidR="4D3339C6" w14:paraId="773A8D47" w14:textId="77777777" w:rsidTr="4D3339C6">
        <w:trPr>
          <w:trHeight w:val="300"/>
        </w:trPr>
        <w:tc>
          <w:tcPr>
            <w:tcW w:w="705" w:type="dxa"/>
            <w:vMerge/>
            <w:tcMar>
              <w:top w:w="15" w:type="dxa"/>
              <w:left w:w="15" w:type="dxa"/>
              <w:right w:w="15" w:type="dxa"/>
            </w:tcMar>
          </w:tcPr>
          <w:p w14:paraId="1ED4436E" w14:textId="77777777" w:rsidR="00FD3641" w:rsidRDefault="00FD3641"/>
        </w:tc>
        <w:tc>
          <w:tcPr>
            <w:tcW w:w="3060" w:type="dxa"/>
            <w:vMerge/>
            <w:tcMar>
              <w:top w:w="15" w:type="dxa"/>
              <w:left w:w="15" w:type="dxa"/>
              <w:right w:w="15" w:type="dxa"/>
            </w:tcMar>
          </w:tcPr>
          <w:p w14:paraId="200D1E90" w14:textId="77777777" w:rsidR="00FD3641" w:rsidRDefault="00FD3641"/>
        </w:tc>
        <w:tc>
          <w:tcPr>
            <w:tcW w:w="1215" w:type="dxa"/>
            <w:tcMar>
              <w:top w:w="15" w:type="dxa"/>
              <w:left w:w="15" w:type="dxa"/>
              <w:right w:w="15" w:type="dxa"/>
            </w:tcMar>
          </w:tcPr>
          <w:p w14:paraId="198B3B61" w14:textId="5FAD1430"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PRODAGRI</w:t>
            </w:r>
          </w:p>
        </w:tc>
        <w:tc>
          <w:tcPr>
            <w:tcW w:w="735" w:type="dxa"/>
            <w:tcMar>
              <w:top w:w="15" w:type="dxa"/>
              <w:left w:w="15" w:type="dxa"/>
              <w:right w:w="15" w:type="dxa"/>
            </w:tcMar>
          </w:tcPr>
          <w:p w14:paraId="01072F73" w14:textId="452F7FD3" w:rsidR="4D3339C6" w:rsidRDefault="4D3339C6" w:rsidP="4D3339C6">
            <w:pPr>
              <w:spacing w:after="0"/>
              <w:jc w:val="center"/>
              <w:rPr>
                <w:rFonts w:eastAsia="Source Sans Pro Light" w:cs="Source Sans Pro Light"/>
                <w:color w:val="000000" w:themeColor="text1"/>
              </w:rPr>
            </w:pPr>
            <w:r w:rsidRPr="4D3339C6">
              <w:rPr>
                <w:rFonts w:eastAsia="Source Sans Pro Light" w:cs="Source Sans Pro Light"/>
                <w:color w:val="000000" w:themeColor="text1"/>
              </w:rPr>
              <w:t>0%</w:t>
            </w:r>
          </w:p>
        </w:tc>
        <w:tc>
          <w:tcPr>
            <w:tcW w:w="3999" w:type="dxa"/>
            <w:tcMar>
              <w:top w:w="15" w:type="dxa"/>
              <w:left w:w="15" w:type="dxa"/>
              <w:right w:w="15" w:type="dxa"/>
            </w:tcMar>
          </w:tcPr>
          <w:p w14:paraId="5437D8D6" w14:textId="69A96E56" w:rsidR="4D3339C6" w:rsidRDefault="4D3339C6" w:rsidP="4D3339C6">
            <w:pPr>
              <w:spacing w:after="0"/>
              <w:jc w:val="left"/>
              <w:rPr>
                <w:rFonts w:eastAsia="Source Sans Pro Light" w:cs="Source Sans Pro Light"/>
                <w:color w:val="000000" w:themeColor="text1"/>
              </w:rPr>
            </w:pPr>
            <w:r w:rsidRPr="4D3339C6">
              <w:rPr>
                <w:rFonts w:eastAsia="Source Sans Pro Light" w:cs="Source Sans Pro Light"/>
                <w:color w:val="000000" w:themeColor="text1"/>
              </w:rPr>
              <w:t>FAUTE DE MIEUX</w:t>
            </w:r>
          </w:p>
        </w:tc>
      </w:tr>
      <w:tr w:rsidR="4D3339C6" w14:paraId="704A2818" w14:textId="77777777" w:rsidTr="4D3339C6">
        <w:trPr>
          <w:trHeight w:val="300"/>
        </w:trPr>
        <w:tc>
          <w:tcPr>
            <w:tcW w:w="705" w:type="dxa"/>
            <w:vMerge/>
            <w:tcMar>
              <w:top w:w="15" w:type="dxa"/>
              <w:left w:w="15" w:type="dxa"/>
              <w:right w:w="15" w:type="dxa"/>
            </w:tcMar>
          </w:tcPr>
          <w:p w14:paraId="72AAEFFC" w14:textId="77777777" w:rsidR="00FD3641" w:rsidRDefault="00FD3641"/>
        </w:tc>
        <w:tc>
          <w:tcPr>
            <w:tcW w:w="3060" w:type="dxa"/>
            <w:vMerge/>
            <w:tcMar>
              <w:top w:w="15" w:type="dxa"/>
              <w:left w:w="15" w:type="dxa"/>
              <w:right w:w="15" w:type="dxa"/>
            </w:tcMar>
          </w:tcPr>
          <w:p w14:paraId="31F31578" w14:textId="77777777" w:rsidR="00FD3641" w:rsidRDefault="00FD3641"/>
        </w:tc>
        <w:tc>
          <w:tcPr>
            <w:tcW w:w="1215" w:type="dxa"/>
            <w:tcMar>
              <w:top w:w="15" w:type="dxa"/>
              <w:left w:w="15" w:type="dxa"/>
              <w:right w:w="15" w:type="dxa"/>
            </w:tcMar>
          </w:tcPr>
          <w:p w14:paraId="28F7131F" w14:textId="5F59D754"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TRANSFO</w:t>
            </w:r>
          </w:p>
        </w:tc>
        <w:tc>
          <w:tcPr>
            <w:tcW w:w="735" w:type="dxa"/>
            <w:tcMar>
              <w:top w:w="15" w:type="dxa"/>
              <w:left w:w="15" w:type="dxa"/>
              <w:right w:w="15" w:type="dxa"/>
            </w:tcMar>
          </w:tcPr>
          <w:p w14:paraId="6AF570F5" w14:textId="4CF87D9C" w:rsidR="4D3339C6" w:rsidRDefault="4D3339C6" w:rsidP="4D3339C6">
            <w:pPr>
              <w:spacing w:after="0"/>
              <w:jc w:val="center"/>
              <w:rPr>
                <w:rFonts w:eastAsia="Source Sans Pro Light" w:cs="Source Sans Pro Light"/>
                <w:color w:val="000000" w:themeColor="text1"/>
              </w:rPr>
            </w:pPr>
            <w:r w:rsidRPr="4D3339C6">
              <w:rPr>
                <w:rFonts w:eastAsia="Source Sans Pro Light" w:cs="Source Sans Pro Light"/>
                <w:color w:val="000000" w:themeColor="text1"/>
              </w:rPr>
              <w:t>0%</w:t>
            </w:r>
          </w:p>
        </w:tc>
        <w:tc>
          <w:tcPr>
            <w:tcW w:w="3999" w:type="dxa"/>
            <w:tcMar>
              <w:top w:w="15" w:type="dxa"/>
              <w:left w:w="15" w:type="dxa"/>
              <w:right w:w="15" w:type="dxa"/>
            </w:tcMar>
          </w:tcPr>
          <w:p w14:paraId="4E3B8749" w14:textId="3BD89873" w:rsidR="4D3339C6" w:rsidRDefault="4D3339C6" w:rsidP="4D3339C6">
            <w:pPr>
              <w:spacing w:after="0"/>
              <w:jc w:val="left"/>
              <w:rPr>
                <w:rFonts w:eastAsia="Source Sans Pro Light" w:cs="Source Sans Pro Light"/>
                <w:color w:val="000000" w:themeColor="text1"/>
              </w:rPr>
            </w:pPr>
            <w:r w:rsidRPr="4D3339C6">
              <w:rPr>
                <w:rFonts w:eastAsia="Source Sans Pro Light" w:cs="Source Sans Pro Light"/>
                <w:color w:val="000000" w:themeColor="text1"/>
              </w:rPr>
              <w:t>FAUTE DE MIEUX</w:t>
            </w:r>
          </w:p>
        </w:tc>
      </w:tr>
      <w:tr w:rsidR="4D3339C6" w14:paraId="13042A8B" w14:textId="77777777" w:rsidTr="4D3339C6">
        <w:trPr>
          <w:trHeight w:val="300"/>
        </w:trPr>
        <w:tc>
          <w:tcPr>
            <w:tcW w:w="705" w:type="dxa"/>
            <w:vMerge/>
            <w:tcMar>
              <w:top w:w="15" w:type="dxa"/>
              <w:left w:w="15" w:type="dxa"/>
              <w:right w:w="15" w:type="dxa"/>
            </w:tcMar>
          </w:tcPr>
          <w:p w14:paraId="69B8022E" w14:textId="77777777" w:rsidR="00FD3641" w:rsidRDefault="00FD3641"/>
        </w:tc>
        <w:tc>
          <w:tcPr>
            <w:tcW w:w="3060" w:type="dxa"/>
            <w:vMerge/>
            <w:tcMar>
              <w:top w:w="15" w:type="dxa"/>
              <w:left w:w="15" w:type="dxa"/>
              <w:right w:w="15" w:type="dxa"/>
            </w:tcMar>
          </w:tcPr>
          <w:p w14:paraId="60643F1D" w14:textId="77777777" w:rsidR="00FD3641" w:rsidRDefault="00FD3641"/>
        </w:tc>
        <w:tc>
          <w:tcPr>
            <w:tcW w:w="1215" w:type="dxa"/>
            <w:tcMar>
              <w:top w:w="15" w:type="dxa"/>
              <w:left w:w="15" w:type="dxa"/>
              <w:right w:w="15" w:type="dxa"/>
            </w:tcMar>
          </w:tcPr>
          <w:p w14:paraId="4F523DA1" w14:textId="667671BC"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RHD</w:t>
            </w:r>
          </w:p>
        </w:tc>
        <w:tc>
          <w:tcPr>
            <w:tcW w:w="735" w:type="dxa"/>
            <w:tcMar>
              <w:top w:w="15" w:type="dxa"/>
              <w:left w:w="15" w:type="dxa"/>
              <w:right w:w="15" w:type="dxa"/>
            </w:tcMar>
          </w:tcPr>
          <w:p w14:paraId="627622B8" w14:textId="0F76BD3C" w:rsidR="4D3339C6" w:rsidRDefault="4D3339C6" w:rsidP="4D3339C6">
            <w:pPr>
              <w:spacing w:after="0"/>
              <w:jc w:val="center"/>
              <w:rPr>
                <w:rFonts w:eastAsia="Source Sans Pro Light" w:cs="Source Sans Pro Light"/>
                <w:color w:val="000000" w:themeColor="text1"/>
              </w:rPr>
            </w:pPr>
            <w:r w:rsidRPr="4D3339C6">
              <w:rPr>
                <w:rFonts w:eastAsia="Source Sans Pro Light" w:cs="Source Sans Pro Light"/>
                <w:color w:val="000000" w:themeColor="text1"/>
              </w:rPr>
              <w:t>0%</w:t>
            </w:r>
          </w:p>
        </w:tc>
        <w:tc>
          <w:tcPr>
            <w:tcW w:w="3999" w:type="dxa"/>
            <w:tcMar>
              <w:top w:w="15" w:type="dxa"/>
              <w:left w:w="15" w:type="dxa"/>
              <w:right w:w="15" w:type="dxa"/>
            </w:tcMar>
          </w:tcPr>
          <w:p w14:paraId="4DCC72F1" w14:textId="2D482658" w:rsidR="4D3339C6" w:rsidRDefault="4D3339C6" w:rsidP="4D3339C6">
            <w:pPr>
              <w:spacing w:after="0"/>
              <w:jc w:val="left"/>
              <w:rPr>
                <w:rFonts w:eastAsia="Source Sans Pro Light" w:cs="Source Sans Pro Light"/>
                <w:color w:val="000000" w:themeColor="text1"/>
              </w:rPr>
            </w:pPr>
            <w:r w:rsidRPr="4D3339C6">
              <w:rPr>
                <w:rFonts w:eastAsia="Source Sans Pro Light" w:cs="Source Sans Pro Light"/>
                <w:color w:val="000000" w:themeColor="text1"/>
              </w:rPr>
              <w:t>FAUTE DE MIEUX</w:t>
            </w:r>
          </w:p>
        </w:tc>
      </w:tr>
      <w:tr w:rsidR="4D3339C6" w14:paraId="73DFCF89" w14:textId="77777777" w:rsidTr="4D3339C6">
        <w:trPr>
          <w:trHeight w:val="300"/>
        </w:trPr>
        <w:tc>
          <w:tcPr>
            <w:tcW w:w="705" w:type="dxa"/>
            <w:vMerge/>
            <w:tcMar>
              <w:top w:w="15" w:type="dxa"/>
              <w:left w:w="15" w:type="dxa"/>
              <w:right w:w="15" w:type="dxa"/>
            </w:tcMar>
          </w:tcPr>
          <w:p w14:paraId="429C7FE1" w14:textId="77777777" w:rsidR="00FD3641" w:rsidRDefault="00FD3641"/>
        </w:tc>
        <w:tc>
          <w:tcPr>
            <w:tcW w:w="3060" w:type="dxa"/>
            <w:vMerge/>
            <w:tcMar>
              <w:top w:w="15" w:type="dxa"/>
              <w:left w:w="15" w:type="dxa"/>
              <w:right w:w="15" w:type="dxa"/>
            </w:tcMar>
          </w:tcPr>
          <w:p w14:paraId="6E6E4A39" w14:textId="77777777" w:rsidR="00FD3641" w:rsidRDefault="00FD3641"/>
        </w:tc>
        <w:tc>
          <w:tcPr>
            <w:tcW w:w="1215" w:type="dxa"/>
            <w:tcMar>
              <w:top w:w="15" w:type="dxa"/>
              <w:left w:w="15" w:type="dxa"/>
              <w:right w:w="15" w:type="dxa"/>
            </w:tcMar>
          </w:tcPr>
          <w:p w14:paraId="1A1011C9" w14:textId="227C17A9" w:rsidR="45749BDB" w:rsidRDefault="45749BDB" w:rsidP="4D3339C6">
            <w:pPr>
              <w:jc w:val="left"/>
              <w:rPr>
                <w:rFonts w:eastAsia="Source Sans Pro Light" w:cs="Source Sans Pro Light"/>
                <w:color w:val="000000" w:themeColor="text1"/>
              </w:rPr>
            </w:pPr>
            <w:r w:rsidRPr="4D3339C6">
              <w:rPr>
                <w:rFonts w:eastAsia="Source Sans Pro Light" w:cs="Source Sans Pro Light"/>
                <w:color w:val="000000" w:themeColor="text1"/>
              </w:rPr>
              <w:t>DISTRIB</w:t>
            </w:r>
          </w:p>
        </w:tc>
        <w:tc>
          <w:tcPr>
            <w:tcW w:w="735" w:type="dxa"/>
            <w:tcMar>
              <w:top w:w="15" w:type="dxa"/>
              <w:left w:w="15" w:type="dxa"/>
              <w:right w:w="15" w:type="dxa"/>
            </w:tcMar>
          </w:tcPr>
          <w:p w14:paraId="38FED072" w14:textId="12747DD1" w:rsidR="4D3339C6" w:rsidRDefault="4D3339C6" w:rsidP="4D3339C6">
            <w:pPr>
              <w:spacing w:after="0"/>
              <w:jc w:val="center"/>
              <w:rPr>
                <w:rFonts w:eastAsia="Source Sans Pro Light" w:cs="Source Sans Pro Light"/>
                <w:color w:val="000000" w:themeColor="text1"/>
              </w:rPr>
            </w:pPr>
            <w:r w:rsidRPr="4D3339C6">
              <w:rPr>
                <w:rFonts w:eastAsia="Source Sans Pro Light" w:cs="Source Sans Pro Light"/>
                <w:color w:val="000000" w:themeColor="text1"/>
              </w:rPr>
              <w:t>30%</w:t>
            </w:r>
          </w:p>
        </w:tc>
        <w:tc>
          <w:tcPr>
            <w:tcW w:w="3999" w:type="dxa"/>
            <w:tcMar>
              <w:top w:w="15" w:type="dxa"/>
              <w:left w:w="15" w:type="dxa"/>
              <w:right w:w="15" w:type="dxa"/>
            </w:tcMar>
          </w:tcPr>
          <w:p w14:paraId="7FF90686" w14:textId="09CC7089" w:rsidR="4D3339C6" w:rsidRDefault="4D3339C6" w:rsidP="4D3339C6">
            <w:pPr>
              <w:spacing w:after="0"/>
              <w:jc w:val="left"/>
              <w:rPr>
                <w:rFonts w:eastAsia="Source Sans Pro Light" w:cs="Source Sans Pro Light"/>
                <w:color w:val="000000" w:themeColor="text1"/>
              </w:rPr>
            </w:pPr>
            <w:r w:rsidRPr="4D3339C6">
              <w:rPr>
                <w:rFonts w:eastAsia="Source Sans Pro Light" w:cs="Source Sans Pro Light"/>
                <w:color w:val="000000" w:themeColor="text1"/>
              </w:rPr>
              <w:t>Dans IGAS 2019 « Evolution du soutien public à une politique sociale, agricole et de santé publique » (Annexe 1, p73), la valorisation totale des dons alimentaires de la distribution sont estimés à 405 M€ en 2018. Pour obtenir la dépense fiscale dont bénéficie la distribution pour ses dons alimentaires, nous retenons donc la partie défiscalisée des 406 M€ (60 %), que nous rapportons au total de la dépense fiscale de l'année (817 M€) correspondent donc à 30 % de la dépense fiscale totale. Nous faisons l'hypothèse que cette proportion reste inchangée sur la période 2018-2024</w:t>
            </w:r>
          </w:p>
        </w:tc>
      </w:tr>
      <w:tr w:rsidR="6C435CBC" w14:paraId="4B027B78" w14:textId="77777777" w:rsidTr="4D3339C6">
        <w:trPr>
          <w:trHeight w:val="300"/>
        </w:trPr>
        <w:tc>
          <w:tcPr>
            <w:tcW w:w="705" w:type="dxa"/>
            <w:vMerge w:val="restart"/>
            <w:tcMar>
              <w:top w:w="15" w:type="dxa"/>
              <w:left w:w="15" w:type="dxa"/>
              <w:right w:w="15" w:type="dxa"/>
            </w:tcMar>
          </w:tcPr>
          <w:p w14:paraId="6BDBF667" w14:textId="1D4C0374"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210324</w:t>
            </w:r>
          </w:p>
        </w:tc>
        <w:tc>
          <w:tcPr>
            <w:tcW w:w="3060" w:type="dxa"/>
            <w:vMerge w:val="restart"/>
            <w:tcMar>
              <w:top w:w="15" w:type="dxa"/>
              <w:left w:w="15" w:type="dxa"/>
              <w:right w:w="15" w:type="dxa"/>
            </w:tcMar>
          </w:tcPr>
          <w:p w14:paraId="4C457726" w14:textId="0647BF72"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Crédit d'impôt en faveur de la compétitivité et de l'emploi</w:t>
            </w:r>
          </w:p>
        </w:tc>
        <w:tc>
          <w:tcPr>
            <w:tcW w:w="1215" w:type="dxa"/>
            <w:tcMar>
              <w:top w:w="15" w:type="dxa"/>
              <w:left w:w="15" w:type="dxa"/>
              <w:right w:w="15" w:type="dxa"/>
            </w:tcMar>
          </w:tcPr>
          <w:p w14:paraId="286C3D30" w14:textId="025E9BC8"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RHD</w:t>
            </w:r>
          </w:p>
        </w:tc>
        <w:tc>
          <w:tcPr>
            <w:tcW w:w="735" w:type="dxa"/>
            <w:tcMar>
              <w:top w:w="15" w:type="dxa"/>
              <w:left w:w="15" w:type="dxa"/>
              <w:right w:w="15" w:type="dxa"/>
            </w:tcMar>
          </w:tcPr>
          <w:p w14:paraId="08D55734" w14:textId="0F76BD3C"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243FCD40" w14:textId="2D482658"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77E682A1" w14:textId="77777777" w:rsidTr="4D3339C6">
        <w:trPr>
          <w:trHeight w:val="300"/>
        </w:trPr>
        <w:tc>
          <w:tcPr>
            <w:tcW w:w="705" w:type="dxa"/>
            <w:vMerge/>
            <w:tcMar>
              <w:top w:w="15" w:type="dxa"/>
              <w:left w:w="15" w:type="dxa"/>
              <w:right w:w="15" w:type="dxa"/>
            </w:tcMar>
          </w:tcPr>
          <w:p w14:paraId="5D7D7A38" w14:textId="30658C71"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2518EF7D" w14:textId="42C99E99"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3398C60C" w14:textId="1C28EC05"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PRODINTR</w:t>
            </w:r>
          </w:p>
        </w:tc>
        <w:tc>
          <w:tcPr>
            <w:tcW w:w="735" w:type="dxa"/>
            <w:tcMar>
              <w:top w:w="15" w:type="dxa"/>
              <w:left w:w="15" w:type="dxa"/>
              <w:right w:w="15" w:type="dxa"/>
            </w:tcMar>
          </w:tcPr>
          <w:p w14:paraId="74E62F94" w14:textId="452F7FD3"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0632CF7D" w14:textId="69A96E56"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66F4FBB4" w14:textId="77777777" w:rsidTr="4D3339C6">
        <w:trPr>
          <w:trHeight w:val="300"/>
        </w:trPr>
        <w:tc>
          <w:tcPr>
            <w:tcW w:w="705" w:type="dxa"/>
            <w:vMerge/>
            <w:tcMar>
              <w:top w:w="15" w:type="dxa"/>
              <w:left w:w="15" w:type="dxa"/>
              <w:right w:w="15" w:type="dxa"/>
            </w:tcMar>
          </w:tcPr>
          <w:p w14:paraId="52F4A0DA" w14:textId="337169D5"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2B93B709" w14:textId="20F5DDEF"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7FD465A0" w14:textId="0A9FC9CF"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DISTRIB</w:t>
            </w:r>
          </w:p>
        </w:tc>
        <w:tc>
          <w:tcPr>
            <w:tcW w:w="735" w:type="dxa"/>
            <w:tcMar>
              <w:top w:w="15" w:type="dxa"/>
              <w:left w:w="15" w:type="dxa"/>
              <w:right w:w="15" w:type="dxa"/>
            </w:tcMar>
          </w:tcPr>
          <w:p w14:paraId="78567980" w14:textId="4CF87D9C"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0F7E8054" w14:textId="3BD89873"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6C435CBC" w14:paraId="55EDE08A" w14:textId="77777777" w:rsidTr="4D3339C6">
        <w:trPr>
          <w:trHeight w:val="300"/>
        </w:trPr>
        <w:tc>
          <w:tcPr>
            <w:tcW w:w="705" w:type="dxa"/>
            <w:vMerge/>
            <w:tcMar>
              <w:top w:w="15" w:type="dxa"/>
              <w:left w:w="15" w:type="dxa"/>
              <w:right w:w="15" w:type="dxa"/>
            </w:tcMar>
          </w:tcPr>
          <w:p w14:paraId="7D2DEF1E" w14:textId="70F034C8"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5B1BDDA9" w14:textId="4A25C51B"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07E03FA6" w14:textId="431ECFEF"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PRODAGRI</w:t>
            </w:r>
          </w:p>
        </w:tc>
        <w:tc>
          <w:tcPr>
            <w:tcW w:w="735" w:type="dxa"/>
            <w:tcMar>
              <w:top w:w="15" w:type="dxa"/>
              <w:left w:w="15" w:type="dxa"/>
              <w:right w:w="15" w:type="dxa"/>
            </w:tcMar>
          </w:tcPr>
          <w:p w14:paraId="0FA6E9F6" w14:textId="09BAD407"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1%</w:t>
            </w:r>
          </w:p>
        </w:tc>
        <w:tc>
          <w:tcPr>
            <w:tcW w:w="3999" w:type="dxa"/>
            <w:tcMar>
              <w:top w:w="15" w:type="dxa"/>
              <w:left w:w="15" w:type="dxa"/>
              <w:right w:w="15" w:type="dxa"/>
            </w:tcMar>
          </w:tcPr>
          <w:p w14:paraId="44F60A82" w14:textId="3BC5EA41" w:rsidR="6C435CBC" w:rsidRDefault="6C435CBC" w:rsidP="651DC750">
            <w:pPr>
              <w:spacing w:after="0"/>
              <w:jc w:val="left"/>
              <w:rPr>
                <w:rFonts w:eastAsia="Source Sans Pro Light" w:cs="Source Sans Pro Light"/>
                <w:color w:val="000000" w:themeColor="text1"/>
              </w:rPr>
            </w:pPr>
            <w:r w:rsidRPr="2DD5DE54">
              <w:rPr>
                <w:rFonts w:eastAsia="Source Sans Pro Light" w:cs="Source Sans Pro Light"/>
                <w:color w:val="000000" w:themeColor="text1"/>
              </w:rPr>
              <w:t xml:space="preserve">D'après les </w:t>
            </w:r>
            <w:hyperlink r:id="rId24">
              <w:r w:rsidRPr="2DD5DE54">
                <w:rPr>
                  <w:rStyle w:val="Lienhypertexte"/>
                  <w:rFonts w:eastAsia="Source Sans Pro Light" w:cs="Source Sans Pro Light"/>
                </w:rPr>
                <w:t>tableaux de la DGFiP</w:t>
              </w:r>
            </w:hyperlink>
            <w:r w:rsidRPr="2DD5DE54">
              <w:rPr>
                <w:rFonts w:eastAsia="Source Sans Pro Light" w:cs="Source Sans Pro Light"/>
                <w:color w:val="000000" w:themeColor="text1"/>
              </w:rPr>
              <w:t>,</w:t>
            </w:r>
            <w:r w:rsidRPr="6C435CBC">
              <w:rPr>
                <w:rFonts w:eastAsia="Source Sans Pro Light" w:cs="Source Sans Pro Light"/>
                <w:color w:val="000000" w:themeColor="text1"/>
              </w:rPr>
              <w:t xml:space="preserve"> la part du secteur agricole dans le CICE est stable à 0,</w:t>
            </w:r>
            <w:r w:rsidR="155FEBA0" w:rsidRPr="31E7085D">
              <w:rPr>
                <w:rFonts w:eastAsia="Source Sans Pro Light" w:cs="Source Sans Pro Light"/>
                <w:color w:val="000000" w:themeColor="text1"/>
              </w:rPr>
              <w:t>8</w:t>
            </w:r>
            <w:r w:rsidRPr="6C435CBC">
              <w:rPr>
                <w:rFonts w:eastAsia="Source Sans Pro Light" w:cs="Source Sans Pro Light"/>
                <w:color w:val="000000" w:themeColor="text1"/>
              </w:rPr>
              <w:t>% sur la période 2015-2018</w:t>
            </w:r>
          </w:p>
        </w:tc>
      </w:tr>
      <w:tr w:rsidR="6C435CBC" w14:paraId="6A43BAB2" w14:textId="77777777" w:rsidTr="4D3339C6">
        <w:trPr>
          <w:trHeight w:val="300"/>
        </w:trPr>
        <w:tc>
          <w:tcPr>
            <w:tcW w:w="705" w:type="dxa"/>
            <w:vMerge/>
            <w:tcMar>
              <w:top w:w="15" w:type="dxa"/>
              <w:left w:w="15" w:type="dxa"/>
              <w:right w:w="15" w:type="dxa"/>
            </w:tcMar>
          </w:tcPr>
          <w:p w14:paraId="27A20F31" w14:textId="5A921713" w:rsidR="6C435CBC" w:rsidRDefault="6C435CBC" w:rsidP="651DC750">
            <w:pPr>
              <w:spacing w:after="0"/>
              <w:jc w:val="left"/>
              <w:rPr>
                <w:rFonts w:eastAsia="Source Sans Pro Light" w:cs="Source Sans Pro Light"/>
                <w:color w:val="000000" w:themeColor="text1"/>
              </w:rPr>
            </w:pPr>
          </w:p>
        </w:tc>
        <w:tc>
          <w:tcPr>
            <w:tcW w:w="3060" w:type="dxa"/>
            <w:vMerge/>
            <w:tcMar>
              <w:top w:w="15" w:type="dxa"/>
              <w:left w:w="15" w:type="dxa"/>
              <w:right w:w="15" w:type="dxa"/>
            </w:tcMar>
          </w:tcPr>
          <w:p w14:paraId="06F09E8E" w14:textId="318C1396" w:rsidR="6C435CBC" w:rsidRDefault="6C435CBC" w:rsidP="651DC750">
            <w:pPr>
              <w:spacing w:after="0"/>
              <w:jc w:val="left"/>
              <w:rPr>
                <w:rFonts w:eastAsia="Source Sans Pro Light" w:cs="Source Sans Pro Light"/>
                <w:color w:val="000000" w:themeColor="text1"/>
              </w:rPr>
            </w:pPr>
          </w:p>
        </w:tc>
        <w:tc>
          <w:tcPr>
            <w:tcW w:w="1215" w:type="dxa"/>
            <w:tcMar>
              <w:top w:w="15" w:type="dxa"/>
              <w:left w:w="15" w:type="dxa"/>
              <w:right w:w="15" w:type="dxa"/>
            </w:tcMar>
          </w:tcPr>
          <w:p w14:paraId="44714CE9" w14:textId="05597B65"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TRANSFO</w:t>
            </w:r>
          </w:p>
        </w:tc>
        <w:tc>
          <w:tcPr>
            <w:tcW w:w="735" w:type="dxa"/>
            <w:tcMar>
              <w:top w:w="15" w:type="dxa"/>
              <w:left w:w="15" w:type="dxa"/>
              <w:right w:w="15" w:type="dxa"/>
            </w:tcMar>
          </w:tcPr>
          <w:p w14:paraId="5CF9F67E" w14:textId="5B3AD571"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4%</w:t>
            </w:r>
          </w:p>
        </w:tc>
        <w:tc>
          <w:tcPr>
            <w:tcW w:w="3999" w:type="dxa"/>
            <w:tcMar>
              <w:top w:w="15" w:type="dxa"/>
              <w:left w:w="15" w:type="dxa"/>
              <w:right w:w="15" w:type="dxa"/>
            </w:tcMar>
          </w:tcPr>
          <w:p w14:paraId="008A4641" w14:textId="55CDF513"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 xml:space="preserve">D'après un </w:t>
            </w:r>
            <w:r w:rsidR="526CB8B2" w:rsidRPr="64283DF5">
              <w:rPr>
                <w:rFonts w:eastAsia="Source Sans Pro Light" w:cs="Source Sans Pro Light"/>
                <w:color w:val="000000" w:themeColor="text1"/>
              </w:rPr>
              <w:t>expert de France Stratégie</w:t>
            </w:r>
            <w:r w:rsidRPr="6C435CBC">
              <w:rPr>
                <w:rFonts w:eastAsia="Source Sans Pro Light" w:cs="Source Sans Pro Light"/>
                <w:color w:val="000000" w:themeColor="text1"/>
              </w:rPr>
              <w:t xml:space="preserve">, dans le cadre de travaux de France Stratégie, le secteur de la transformation alimentaire a </w:t>
            </w:r>
            <w:r w:rsidRPr="1034C95E">
              <w:rPr>
                <w:rFonts w:eastAsia="Source Sans Pro Light" w:cs="Source Sans Pro Light"/>
                <w:color w:val="000000" w:themeColor="text1"/>
              </w:rPr>
              <w:t>bén</w:t>
            </w:r>
            <w:r w:rsidR="179D00C1" w:rsidRPr="1034C95E">
              <w:rPr>
                <w:rFonts w:eastAsia="Source Sans Pro Light" w:cs="Source Sans Pro Light"/>
                <w:color w:val="000000" w:themeColor="text1"/>
              </w:rPr>
              <w:t>é</w:t>
            </w:r>
            <w:r w:rsidRPr="1034C95E">
              <w:rPr>
                <w:rFonts w:eastAsia="Source Sans Pro Light" w:cs="Source Sans Pro Light"/>
                <w:color w:val="000000" w:themeColor="text1"/>
              </w:rPr>
              <w:t>ficié</w:t>
            </w:r>
            <w:r w:rsidRPr="6C435CBC">
              <w:rPr>
                <w:rFonts w:eastAsia="Source Sans Pro Light" w:cs="Source Sans Pro Light"/>
                <w:color w:val="000000" w:themeColor="text1"/>
              </w:rPr>
              <w:t xml:space="preserve"> de 815 M€ d'exonérations fiscales au titre du CICE en 2018, dont le montant total était de 19 414 M€, soit une part de 4%.</w:t>
            </w:r>
          </w:p>
        </w:tc>
      </w:tr>
      <w:tr w:rsidR="6C435CBC" w14:paraId="3DA2A604" w14:textId="77777777" w:rsidTr="4D3339C6">
        <w:trPr>
          <w:trHeight w:val="300"/>
        </w:trPr>
        <w:tc>
          <w:tcPr>
            <w:tcW w:w="705" w:type="dxa"/>
            <w:tcMar>
              <w:top w:w="15" w:type="dxa"/>
              <w:left w:w="15" w:type="dxa"/>
              <w:right w:w="15" w:type="dxa"/>
            </w:tcMar>
          </w:tcPr>
          <w:p w14:paraId="5B706DA3" w14:textId="692E9A64"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300101</w:t>
            </w:r>
          </w:p>
        </w:tc>
        <w:tc>
          <w:tcPr>
            <w:tcW w:w="3060" w:type="dxa"/>
            <w:tcMar>
              <w:top w:w="15" w:type="dxa"/>
              <w:left w:w="15" w:type="dxa"/>
              <w:right w:w="15" w:type="dxa"/>
            </w:tcMar>
          </w:tcPr>
          <w:p w14:paraId="084F0D91" w14:textId="372E3A6E"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Exonération sous certaines conditions : - des coopératives agricoles et de leurs unions ; - des coopératives artisanales et de leurs unions ; - des coopératives d'entreprises de transport ; - des coopératives artisanales de transport fluvial ; - des coopératives maritimes et de leurs unions</w:t>
            </w:r>
          </w:p>
        </w:tc>
        <w:tc>
          <w:tcPr>
            <w:tcW w:w="1215" w:type="dxa"/>
            <w:tcMar>
              <w:top w:w="15" w:type="dxa"/>
              <w:left w:w="15" w:type="dxa"/>
              <w:right w:w="15" w:type="dxa"/>
            </w:tcMar>
          </w:tcPr>
          <w:p w14:paraId="4C3CE9C1" w14:textId="34EF12AD"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TRANSFO</w:t>
            </w:r>
          </w:p>
        </w:tc>
        <w:tc>
          <w:tcPr>
            <w:tcW w:w="735" w:type="dxa"/>
            <w:tcMar>
              <w:top w:w="15" w:type="dxa"/>
              <w:left w:w="15" w:type="dxa"/>
              <w:right w:w="15" w:type="dxa"/>
            </w:tcMar>
          </w:tcPr>
          <w:p w14:paraId="73AFF728" w14:textId="52ABD016"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98%</w:t>
            </w:r>
          </w:p>
        </w:tc>
        <w:tc>
          <w:tcPr>
            <w:tcW w:w="3999" w:type="dxa"/>
            <w:tcMar>
              <w:top w:w="15" w:type="dxa"/>
              <w:left w:w="15" w:type="dxa"/>
              <w:right w:w="15" w:type="dxa"/>
            </w:tcMar>
          </w:tcPr>
          <w:p w14:paraId="01132D13" w14:textId="6FD97332"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Les coopératives agricoles cumulent 88 milliards d’euros de chiffre d’affaires (filiales comprises) [</w:t>
            </w:r>
            <w:hyperlink r:id="rId25">
              <w:r w:rsidR="6F40850E" w:rsidRPr="2A43139E">
                <w:rPr>
                  <w:rStyle w:val="Lienhypertexte"/>
                  <w:rFonts w:eastAsia="Source Sans Pro Light" w:cs="Source Sans Pro Light"/>
                </w:rPr>
                <w:t>La coopération agricole</w:t>
              </w:r>
            </w:hyperlink>
            <w:r w:rsidRPr="6C435CBC">
              <w:rPr>
                <w:rFonts w:eastAsia="Source Sans Pro Light" w:cs="Source Sans Pro Light"/>
                <w:color w:val="000000" w:themeColor="text1"/>
              </w:rPr>
              <w:t>], les coopératives artisanales cumulent 1,548 Mds € de CA [</w:t>
            </w:r>
            <w:hyperlink r:id="rId26" w:anchor=":~:text=Un%20chiffre%20d'affaires%20cumul%C3%A9,pour%20les%20coop%C3%A9ratives%20de%20commercialisation">
              <w:r w:rsidR="7E28E655" w:rsidRPr="2AB636FF">
                <w:rPr>
                  <w:rStyle w:val="Lienhypertexte"/>
                  <w:rFonts w:eastAsia="Source Sans Pro Light" w:cs="Source Sans Pro Light"/>
                </w:rPr>
                <w:t>FFCGA</w:t>
              </w:r>
            </w:hyperlink>
            <w:r w:rsidRPr="6C435CBC">
              <w:rPr>
                <w:rFonts w:eastAsia="Source Sans Pro Light" w:cs="Source Sans Pro Light"/>
                <w:color w:val="000000" w:themeColor="text1"/>
              </w:rPr>
              <w:t xml:space="preserve">], et les coopératives de transport 93,5 millions d'euros de CA. Les coopératives agricoles représentent donc </w:t>
            </w:r>
            <w:r w:rsidR="72BB43AF" w:rsidRPr="701201EB">
              <w:rPr>
                <w:rFonts w:eastAsia="Source Sans Pro Light" w:cs="Source Sans Pro Light"/>
                <w:color w:val="000000" w:themeColor="text1"/>
              </w:rPr>
              <w:t xml:space="preserve">98 </w:t>
            </w:r>
            <w:r w:rsidRPr="6C435CBC">
              <w:rPr>
                <w:rFonts w:eastAsia="Source Sans Pro Light" w:cs="Source Sans Pro Light"/>
                <w:color w:val="000000" w:themeColor="text1"/>
              </w:rPr>
              <w:t>% du total</w:t>
            </w:r>
            <w:r w:rsidR="1F740A9B" w:rsidRPr="31E7085D">
              <w:rPr>
                <w:rFonts w:eastAsia="Source Sans Pro Light" w:cs="Source Sans Pro Light"/>
                <w:color w:val="000000" w:themeColor="text1"/>
              </w:rPr>
              <w:t>.</w:t>
            </w:r>
          </w:p>
        </w:tc>
      </w:tr>
      <w:tr w:rsidR="6C435CBC" w14:paraId="03CDF858" w14:textId="77777777" w:rsidTr="4D3339C6">
        <w:trPr>
          <w:trHeight w:val="300"/>
        </w:trPr>
        <w:tc>
          <w:tcPr>
            <w:tcW w:w="705" w:type="dxa"/>
            <w:tcMar>
              <w:top w:w="15" w:type="dxa"/>
              <w:left w:w="15" w:type="dxa"/>
              <w:right w:w="15" w:type="dxa"/>
            </w:tcMar>
          </w:tcPr>
          <w:p w14:paraId="05143847" w14:textId="44B0AD73"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300201</w:t>
            </w:r>
          </w:p>
        </w:tc>
        <w:tc>
          <w:tcPr>
            <w:tcW w:w="3060" w:type="dxa"/>
            <w:tcMar>
              <w:top w:w="15" w:type="dxa"/>
              <w:left w:w="15" w:type="dxa"/>
              <w:right w:w="15" w:type="dxa"/>
            </w:tcMar>
          </w:tcPr>
          <w:p w14:paraId="6C920CAD" w14:textId="51C6F6DC"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Exonération des revenus patrimoniaux des établissements publics scientifiques, d'enseignement et d'assistance pour leurs revenus fonciers agricoles et mobiliers</w:t>
            </w:r>
          </w:p>
        </w:tc>
        <w:tc>
          <w:tcPr>
            <w:tcW w:w="1215" w:type="dxa"/>
            <w:tcMar>
              <w:top w:w="15" w:type="dxa"/>
              <w:left w:w="15" w:type="dxa"/>
              <w:right w:w="15" w:type="dxa"/>
            </w:tcMar>
          </w:tcPr>
          <w:p w14:paraId="6AAE6BCC" w14:textId="52EA6C17"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TRANSVERSE</w:t>
            </w:r>
          </w:p>
        </w:tc>
        <w:tc>
          <w:tcPr>
            <w:tcW w:w="735" w:type="dxa"/>
            <w:tcMar>
              <w:top w:w="15" w:type="dxa"/>
              <w:left w:w="15" w:type="dxa"/>
              <w:right w:w="15" w:type="dxa"/>
            </w:tcMar>
          </w:tcPr>
          <w:p w14:paraId="174AD878" w14:textId="0AF88A16" w:rsidR="6C435CBC" w:rsidRDefault="6C435CBC" w:rsidP="31E7085D">
            <w:pPr>
              <w:spacing w:after="0"/>
              <w:jc w:val="center"/>
              <w:rPr>
                <w:rFonts w:eastAsia="Source Sans Pro Light" w:cs="Source Sans Pro Light"/>
                <w:color w:val="000000" w:themeColor="text1"/>
              </w:rPr>
            </w:pPr>
            <w:r w:rsidRPr="6C435CBC">
              <w:rPr>
                <w:rFonts w:eastAsia="Source Sans Pro Light" w:cs="Source Sans Pro Light"/>
                <w:color w:val="000000" w:themeColor="text1"/>
              </w:rPr>
              <w:t>0%</w:t>
            </w:r>
          </w:p>
        </w:tc>
        <w:tc>
          <w:tcPr>
            <w:tcW w:w="3999" w:type="dxa"/>
            <w:tcMar>
              <w:top w:w="15" w:type="dxa"/>
              <w:left w:w="15" w:type="dxa"/>
              <w:right w:w="15" w:type="dxa"/>
            </w:tcMar>
          </w:tcPr>
          <w:p w14:paraId="3DD2D6B9" w14:textId="16977C8B" w:rsidR="6C435CBC" w:rsidRDefault="286938C6" w:rsidP="651DC750">
            <w:pPr>
              <w:spacing w:after="0"/>
              <w:jc w:val="left"/>
              <w:rPr>
                <w:rFonts w:eastAsia="Source Sans Pro Light" w:cs="Source Sans Pro Light"/>
                <w:color w:val="000000" w:themeColor="text1"/>
              </w:rPr>
            </w:pPr>
            <w:r w:rsidRPr="16243599">
              <w:rPr>
                <w:rFonts w:eastAsia="Source Sans Pro Light" w:cs="Source Sans Pro Light"/>
                <w:color w:val="000000" w:themeColor="text1"/>
              </w:rPr>
              <w:t>FAUTE DE MIEUX</w:t>
            </w:r>
          </w:p>
        </w:tc>
      </w:tr>
      <w:tr w:rsidR="6C435CBC" w14:paraId="01606A68" w14:textId="77777777" w:rsidTr="4D3339C6">
        <w:trPr>
          <w:trHeight w:val="300"/>
        </w:trPr>
        <w:tc>
          <w:tcPr>
            <w:tcW w:w="705" w:type="dxa"/>
            <w:tcMar>
              <w:top w:w="15" w:type="dxa"/>
              <w:left w:w="15" w:type="dxa"/>
              <w:right w:w="15" w:type="dxa"/>
            </w:tcMar>
          </w:tcPr>
          <w:p w14:paraId="180FE018" w14:textId="488534AC"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320122</w:t>
            </w:r>
          </w:p>
        </w:tc>
        <w:tc>
          <w:tcPr>
            <w:tcW w:w="3060" w:type="dxa"/>
            <w:tcMar>
              <w:top w:w="15" w:type="dxa"/>
              <w:left w:w="15" w:type="dxa"/>
              <w:right w:w="15" w:type="dxa"/>
            </w:tcMar>
          </w:tcPr>
          <w:p w14:paraId="5489F9F6" w14:textId="345DD0C6"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Déduction pour les groupements d'employeurs des sommes inscrites à un compte d'affectation spéciale et destinées à couvrir leur responsabilité solidaire pour le paiement des dettes salariales</w:t>
            </w:r>
          </w:p>
        </w:tc>
        <w:tc>
          <w:tcPr>
            <w:tcW w:w="1215" w:type="dxa"/>
            <w:tcMar>
              <w:top w:w="15" w:type="dxa"/>
              <w:left w:w="15" w:type="dxa"/>
              <w:right w:w="15" w:type="dxa"/>
            </w:tcMar>
          </w:tcPr>
          <w:p w14:paraId="3088A0A6" w14:textId="58568878" w:rsidR="31E7085D" w:rsidRPr="31E7085D" w:rsidRDefault="31E7085D" w:rsidP="31E7085D">
            <w:pPr>
              <w:spacing w:after="0"/>
              <w:jc w:val="left"/>
              <w:rPr>
                <w:rFonts w:eastAsia="Source Sans Pro Light" w:cs="Source Sans Pro Light"/>
                <w:color w:val="000000" w:themeColor="text1"/>
              </w:rPr>
            </w:pPr>
            <w:r w:rsidRPr="31E7085D">
              <w:rPr>
                <w:rFonts w:eastAsia="Source Sans Pro Light" w:cs="Source Sans Pro Light"/>
                <w:color w:val="000000" w:themeColor="text1"/>
              </w:rPr>
              <w:t>PRODAGRI</w:t>
            </w:r>
          </w:p>
        </w:tc>
        <w:tc>
          <w:tcPr>
            <w:tcW w:w="735" w:type="dxa"/>
            <w:tcMar>
              <w:top w:w="15" w:type="dxa"/>
              <w:left w:w="15" w:type="dxa"/>
              <w:right w:w="15" w:type="dxa"/>
            </w:tcMar>
          </w:tcPr>
          <w:p w14:paraId="4F0F0BFB" w14:textId="5A2387B3" w:rsidR="6C435CBC" w:rsidRDefault="6C435CBC"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0</w:t>
            </w:r>
            <w:r w:rsidRPr="6C435CBC">
              <w:rPr>
                <w:rFonts w:eastAsia="Source Sans Pro Light" w:cs="Source Sans Pro Light"/>
                <w:color w:val="000000" w:themeColor="text1"/>
              </w:rPr>
              <w:t>%</w:t>
            </w:r>
          </w:p>
        </w:tc>
        <w:tc>
          <w:tcPr>
            <w:tcW w:w="3999" w:type="dxa"/>
            <w:tcMar>
              <w:top w:w="15" w:type="dxa"/>
              <w:left w:w="15" w:type="dxa"/>
              <w:right w:w="15" w:type="dxa"/>
            </w:tcMar>
          </w:tcPr>
          <w:p w14:paraId="5220A5E9" w14:textId="34EE5270" w:rsidR="6C435CBC" w:rsidRDefault="6C435CBC" w:rsidP="651DC750">
            <w:pPr>
              <w:spacing w:after="0"/>
              <w:jc w:val="left"/>
              <w:rPr>
                <w:rFonts w:eastAsia="Source Sans Pro Light" w:cs="Source Sans Pro Light"/>
                <w:color w:val="000000" w:themeColor="text1"/>
              </w:rPr>
            </w:pPr>
            <w:r w:rsidRPr="6C435CBC">
              <w:rPr>
                <w:rFonts w:eastAsia="Source Sans Pro Light" w:cs="Source Sans Pro Light"/>
                <w:color w:val="000000" w:themeColor="text1"/>
              </w:rPr>
              <w:t>FAUTE DE MIEUX</w:t>
            </w:r>
          </w:p>
        </w:tc>
      </w:tr>
      <w:tr w:rsidR="31E7085D" w14:paraId="476FF965" w14:textId="77777777" w:rsidTr="4D3339C6">
        <w:trPr>
          <w:trHeight w:val="300"/>
        </w:trPr>
        <w:tc>
          <w:tcPr>
            <w:tcW w:w="705" w:type="dxa"/>
            <w:tcMar>
              <w:top w:w="15" w:type="dxa"/>
              <w:left w:w="15" w:type="dxa"/>
              <w:right w:w="15" w:type="dxa"/>
            </w:tcMar>
          </w:tcPr>
          <w:p w14:paraId="7ADF72D9" w14:textId="35E058ED" w:rsidR="31E7085D" w:rsidRDefault="31E7085D" w:rsidP="31E7085D">
            <w:pPr>
              <w:spacing w:after="0"/>
              <w:rPr>
                <w:rFonts w:eastAsia="Source Sans Pro Light" w:cs="Source Sans Pro Light"/>
                <w:color w:val="000000" w:themeColor="text1"/>
              </w:rPr>
            </w:pPr>
            <w:r w:rsidRPr="31E7085D">
              <w:rPr>
                <w:rFonts w:eastAsia="Source Sans Pro Light" w:cs="Source Sans Pro Light"/>
                <w:color w:val="000000" w:themeColor="text1"/>
              </w:rPr>
              <w:t>150118</w:t>
            </w:r>
          </w:p>
        </w:tc>
        <w:tc>
          <w:tcPr>
            <w:tcW w:w="3060" w:type="dxa"/>
            <w:tcMar>
              <w:top w:w="15" w:type="dxa"/>
              <w:left w:w="15" w:type="dxa"/>
              <w:right w:w="15" w:type="dxa"/>
            </w:tcMar>
          </w:tcPr>
          <w:p w14:paraId="18A073CE" w14:textId="7307BED1" w:rsidR="31E7085D" w:rsidRDefault="7D1F9639" w:rsidP="79470E84">
            <w:pPr>
              <w:spacing w:after="0"/>
              <w:jc w:val="left"/>
              <w:rPr>
                <w:rFonts w:eastAsia="Source Sans Pro Light" w:cs="Source Sans Pro Light"/>
                <w:color w:val="000000" w:themeColor="text1"/>
              </w:rPr>
            </w:pPr>
            <w:r w:rsidRPr="79470E84">
              <w:rPr>
                <w:rFonts w:eastAsia="Source Sans Pro Light" w:cs="Source Sans Pro Light"/>
                <w:color w:val="000000" w:themeColor="text1"/>
              </w:rPr>
              <w:t>Exonération des plus-values immobilières au titre des cessions d’immeubles, sous conditions, au profit d’organismes en charge du logement social et de tout cessionnaire prenant l’engagement de construire des logements sociaux, réalisées jusqu’au 31 décembre 2022</w:t>
            </w:r>
          </w:p>
        </w:tc>
        <w:tc>
          <w:tcPr>
            <w:tcW w:w="1215" w:type="dxa"/>
            <w:tcMar>
              <w:top w:w="15" w:type="dxa"/>
              <w:left w:w="15" w:type="dxa"/>
              <w:right w:w="15" w:type="dxa"/>
            </w:tcMar>
          </w:tcPr>
          <w:p w14:paraId="5E00998F" w14:textId="437C7A00" w:rsidR="31E7085D" w:rsidRDefault="31E7085D" w:rsidP="31E7085D">
            <w:pPr>
              <w:spacing w:after="0"/>
              <w:rPr>
                <w:rFonts w:eastAsia="Source Sans Pro Light" w:cs="Source Sans Pro Light"/>
                <w:color w:val="000000" w:themeColor="text1"/>
              </w:rPr>
            </w:pPr>
            <w:r w:rsidRPr="31E7085D">
              <w:rPr>
                <w:rFonts w:eastAsia="Source Sans Pro Light" w:cs="Source Sans Pro Light"/>
                <w:color w:val="000000" w:themeColor="text1"/>
              </w:rPr>
              <w:t>PRODAGRI</w:t>
            </w:r>
          </w:p>
        </w:tc>
        <w:tc>
          <w:tcPr>
            <w:tcW w:w="735" w:type="dxa"/>
            <w:tcMar>
              <w:top w:w="15" w:type="dxa"/>
              <w:left w:w="15" w:type="dxa"/>
              <w:right w:w="15" w:type="dxa"/>
            </w:tcMar>
          </w:tcPr>
          <w:p w14:paraId="18728626" w14:textId="56959B2E"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0%</w:t>
            </w:r>
          </w:p>
        </w:tc>
        <w:tc>
          <w:tcPr>
            <w:tcW w:w="3999" w:type="dxa"/>
            <w:tcMar>
              <w:top w:w="15" w:type="dxa"/>
              <w:left w:w="15" w:type="dxa"/>
              <w:right w:w="15" w:type="dxa"/>
            </w:tcMar>
          </w:tcPr>
          <w:p w14:paraId="531F19EF" w14:textId="6F83C69B" w:rsidR="31E7085D" w:rsidRDefault="31E7085D" w:rsidP="31E7085D">
            <w:pPr>
              <w:spacing w:after="0"/>
              <w:rPr>
                <w:rFonts w:eastAsia="Source Sans Pro Light" w:cs="Source Sans Pro Light"/>
                <w:color w:val="000000" w:themeColor="text1"/>
              </w:rPr>
            </w:pPr>
            <w:r w:rsidRPr="31E7085D">
              <w:rPr>
                <w:rFonts w:eastAsia="Source Sans Pro Light" w:cs="Source Sans Pro Light"/>
                <w:color w:val="000000" w:themeColor="text1"/>
              </w:rPr>
              <w:t>FAUTE DE MIEUX</w:t>
            </w:r>
          </w:p>
        </w:tc>
      </w:tr>
    </w:tbl>
    <w:p w14:paraId="33BC45B5" w14:textId="08EFBCCE" w:rsidR="03B432D1" w:rsidRDefault="03B432D1"/>
    <w:p w14:paraId="159B6C51" w14:textId="684332AC" w:rsidR="1345D9E8" w:rsidRDefault="31102C8E" w:rsidP="1345D9E8">
      <w:r>
        <w:t xml:space="preserve">Nous ne parvenons pas à proratiser la totalité des dépenses fiscales que nous avons </w:t>
      </w:r>
      <w:r w:rsidR="69166444">
        <w:t>recensées comme bénéficiant au moins en partie au système alimentaire. Lorsque nous n’avions pas de sources ou de bases fiables pour réaliser cette proratisation, nous avons appliqué un prorata de 0%, faute de mieux.</w:t>
      </w:r>
    </w:p>
    <w:p w14:paraId="15C5756B" w14:textId="0893E7E6" w:rsidR="5EB3F01B" w:rsidRDefault="5EB3F01B" w:rsidP="001B6CA9">
      <w:pPr>
        <w:pStyle w:val="Titre2"/>
      </w:pPr>
      <w:bookmarkStart w:id="124" w:name="_Toc177052109"/>
      <w:r>
        <w:lastRenderedPageBreak/>
        <w:t>Le cas particulier des exonérations aux énergies fossiles</w:t>
      </w:r>
      <w:bookmarkEnd w:id="124"/>
    </w:p>
    <w:p w14:paraId="5898CF48" w14:textId="4B71B4B9" w:rsidR="0CB918A7" w:rsidRDefault="0CB918A7" w:rsidP="006558B9">
      <w:pPr>
        <w:pStyle w:val="Titre3"/>
      </w:pPr>
      <w:bookmarkStart w:id="125" w:name="_Toc177052110"/>
      <w:r>
        <w:t>Pour le secteur agricole</w:t>
      </w:r>
      <w:bookmarkEnd w:id="125"/>
    </w:p>
    <w:p w14:paraId="1D675B99" w14:textId="62C13B33" w:rsidR="37F2BCDA" w:rsidRDefault="30A67568" w:rsidP="37F2BCDA">
      <w:r>
        <w:t>Les exonérations fiscales aux énergies fossiles</w:t>
      </w:r>
      <w:r w:rsidR="59B53EED">
        <w:t xml:space="preserve"> dont bénéficient les exploitations agricoles</w:t>
      </w:r>
      <w:r>
        <w:t xml:space="preserve"> sont un cas particulier particulièrement compliqué à traiter. En effet, le régime d</w:t>
      </w:r>
      <w:r w:rsidR="1C5FE201">
        <w:t xml:space="preserve">e ces </w:t>
      </w:r>
      <w:r>
        <w:t xml:space="preserve">exonérations fiscales </w:t>
      </w:r>
      <w:r w:rsidR="3D1FAA99">
        <w:t>a particulièrement évolué sur la période 2018-2024.</w:t>
      </w:r>
      <w:r w:rsidR="5C80A265">
        <w:t xml:space="preserve"> Le tableau ci-dessous résume ces évolutions, avec en vert clair les exonérations fiscales bénéficiant </w:t>
      </w:r>
      <w:r w:rsidR="5C80A265" w:rsidRPr="31E7085D">
        <w:rPr>
          <w:i/>
          <w:iCs/>
        </w:rPr>
        <w:t>en partie</w:t>
      </w:r>
      <w:r w:rsidR="5C80A265">
        <w:t xml:space="preserve"> aux exploitations agricoles, et en vert clair celles qui leur bénéficient </w:t>
      </w:r>
      <w:r w:rsidR="5C80A265" w:rsidRPr="31E7085D">
        <w:rPr>
          <w:i/>
          <w:iCs/>
        </w:rPr>
        <w:t>en totalité</w:t>
      </w:r>
      <w:r w:rsidR="5C80A265">
        <w:t xml:space="preserve">. </w:t>
      </w:r>
    </w:p>
    <w:tbl>
      <w:tblPr>
        <w:tblW w:w="0" w:type="auto"/>
        <w:tblLayout w:type="fixed"/>
        <w:tblLook w:val="06A0" w:firstRow="1" w:lastRow="0" w:firstColumn="1" w:lastColumn="0" w:noHBand="1" w:noVBand="1"/>
      </w:tblPr>
      <w:tblGrid>
        <w:gridCol w:w="1173"/>
        <w:gridCol w:w="1173"/>
        <w:gridCol w:w="1173"/>
        <w:gridCol w:w="1173"/>
        <w:gridCol w:w="1173"/>
        <w:gridCol w:w="1173"/>
        <w:gridCol w:w="1190"/>
      </w:tblGrid>
      <w:tr w:rsidR="31E7085D" w14:paraId="330DBE71" w14:textId="77777777" w:rsidTr="31E7085D">
        <w:trPr>
          <w:trHeight w:val="300"/>
        </w:trPr>
        <w:tc>
          <w:tcPr>
            <w:tcW w:w="1173"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27121228" w14:textId="4037B230"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2018</w:t>
            </w:r>
          </w:p>
        </w:tc>
        <w:tc>
          <w:tcPr>
            <w:tcW w:w="1173" w:type="dxa"/>
            <w:tcBorders>
              <w:top w:val="single" w:sz="4" w:space="0" w:color="auto"/>
              <w:left w:val="single" w:sz="4" w:space="0" w:color="auto"/>
              <w:bottom w:val="single" w:sz="8" w:space="0" w:color="000000" w:themeColor="text1"/>
              <w:right w:val="nil"/>
            </w:tcBorders>
            <w:shd w:val="clear" w:color="auto" w:fill="000000" w:themeFill="text1"/>
            <w:tcMar>
              <w:top w:w="15" w:type="dxa"/>
              <w:left w:w="15" w:type="dxa"/>
              <w:right w:w="15" w:type="dxa"/>
            </w:tcMar>
            <w:vAlign w:val="center"/>
          </w:tcPr>
          <w:p w14:paraId="690CCF42" w14:textId="3A991EDD"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2019</w:t>
            </w:r>
          </w:p>
        </w:tc>
        <w:tc>
          <w:tcPr>
            <w:tcW w:w="1173"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02EECBD9" w14:textId="5BA227C1"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2020</w:t>
            </w:r>
          </w:p>
        </w:tc>
        <w:tc>
          <w:tcPr>
            <w:tcW w:w="1173"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24BCA8C2" w14:textId="09DAF185"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2021</w:t>
            </w:r>
          </w:p>
        </w:tc>
        <w:tc>
          <w:tcPr>
            <w:tcW w:w="1173"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716E6DFE" w14:textId="66DAF67A"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2022</w:t>
            </w:r>
          </w:p>
        </w:tc>
        <w:tc>
          <w:tcPr>
            <w:tcW w:w="1173"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660F9E84" w14:textId="1EF900DC"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2023</w:t>
            </w:r>
          </w:p>
        </w:tc>
        <w:tc>
          <w:tcPr>
            <w:tcW w:w="1190" w:type="dxa"/>
            <w:tcBorders>
              <w:top w:val="single" w:sz="4" w:space="0" w:color="auto"/>
              <w:left w:val="single" w:sz="4" w:space="0" w:color="auto"/>
              <w:bottom w:val="single" w:sz="8" w:space="0" w:color="000000" w:themeColor="text1"/>
              <w:right w:val="single" w:sz="4" w:space="0" w:color="auto"/>
            </w:tcBorders>
            <w:shd w:val="clear" w:color="auto" w:fill="000000" w:themeFill="text1"/>
            <w:tcMar>
              <w:top w:w="15" w:type="dxa"/>
              <w:left w:w="15" w:type="dxa"/>
              <w:right w:w="15" w:type="dxa"/>
            </w:tcMar>
            <w:vAlign w:val="center"/>
          </w:tcPr>
          <w:p w14:paraId="46F182B2" w14:textId="10F138A3" w:rsidR="31E7085D" w:rsidRDefault="31E7085D" w:rsidP="31E7085D">
            <w:pPr>
              <w:spacing w:after="0"/>
              <w:jc w:val="center"/>
              <w:rPr>
                <w:rFonts w:eastAsia="Source Sans Pro Light" w:cs="Source Sans Pro Light"/>
                <w:color w:val="FFFFFF" w:themeColor="background1"/>
              </w:rPr>
            </w:pPr>
            <w:r w:rsidRPr="31E7085D">
              <w:rPr>
                <w:rFonts w:eastAsia="Source Sans Pro Light" w:cs="Source Sans Pro Light"/>
                <w:color w:val="FFFFFF" w:themeColor="background1"/>
              </w:rPr>
              <w:t>PLF 2024</w:t>
            </w:r>
          </w:p>
        </w:tc>
      </w:tr>
      <w:tr w:rsidR="31E7085D" w14:paraId="13DD185F" w14:textId="77777777" w:rsidTr="31E7085D">
        <w:trPr>
          <w:trHeight w:val="285"/>
        </w:trPr>
        <w:tc>
          <w:tcPr>
            <w:tcW w:w="1173" w:type="dxa"/>
            <w:tcBorders>
              <w:top w:val="single" w:sz="8" w:space="0" w:color="000000" w:themeColor="text1"/>
              <w:left w:val="single" w:sz="8" w:space="0" w:color="000000" w:themeColor="text1"/>
              <w:bottom w:val="dotted" w:sz="4" w:space="0" w:color="auto"/>
              <w:right w:val="single" w:sz="4" w:space="0" w:color="auto"/>
            </w:tcBorders>
            <w:shd w:val="clear" w:color="auto" w:fill="D4E3B8" w:themeFill="accent5" w:themeFillTint="66"/>
            <w:tcMar>
              <w:top w:w="15" w:type="dxa"/>
              <w:left w:w="15" w:type="dxa"/>
              <w:right w:w="15" w:type="dxa"/>
            </w:tcMar>
            <w:vAlign w:val="center"/>
          </w:tcPr>
          <w:p w14:paraId="2E472164" w14:textId="419F0C6D"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73" w:type="dxa"/>
            <w:tcBorders>
              <w:top w:val="single" w:sz="8" w:space="0" w:color="000000" w:themeColor="text1"/>
              <w:left w:val="single" w:sz="4" w:space="0" w:color="auto"/>
              <w:bottom w:val="dotted" w:sz="4" w:space="0" w:color="auto"/>
              <w:right w:val="single" w:sz="4" w:space="0" w:color="auto"/>
            </w:tcBorders>
            <w:shd w:val="clear" w:color="auto" w:fill="D4E3B8" w:themeFill="accent5" w:themeFillTint="66"/>
            <w:tcMar>
              <w:top w:w="15" w:type="dxa"/>
              <w:left w:w="15" w:type="dxa"/>
              <w:right w:w="15" w:type="dxa"/>
            </w:tcMar>
            <w:vAlign w:val="center"/>
          </w:tcPr>
          <w:p w14:paraId="6D6A6546" w14:textId="4116DE8E"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73" w:type="dxa"/>
            <w:tcBorders>
              <w:top w:val="single" w:sz="8" w:space="0" w:color="000000" w:themeColor="text1"/>
              <w:left w:val="single" w:sz="4" w:space="0" w:color="auto"/>
              <w:bottom w:val="dotted" w:sz="4" w:space="0" w:color="auto"/>
              <w:right w:val="single" w:sz="4" w:space="0" w:color="auto"/>
            </w:tcBorders>
            <w:tcMar>
              <w:top w:w="15" w:type="dxa"/>
              <w:left w:w="15" w:type="dxa"/>
              <w:right w:w="15" w:type="dxa"/>
            </w:tcMar>
            <w:vAlign w:val="center"/>
          </w:tcPr>
          <w:p w14:paraId="5E3ACF50" w14:textId="392F98DB"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73" w:type="dxa"/>
            <w:tcBorders>
              <w:top w:val="single" w:sz="8" w:space="0" w:color="000000" w:themeColor="text1"/>
              <w:left w:val="single" w:sz="4" w:space="0" w:color="auto"/>
              <w:bottom w:val="dotted" w:sz="4" w:space="0" w:color="auto"/>
              <w:right w:val="single" w:sz="4" w:space="0" w:color="auto"/>
            </w:tcBorders>
            <w:tcMar>
              <w:top w:w="15" w:type="dxa"/>
              <w:left w:w="15" w:type="dxa"/>
              <w:right w:w="15" w:type="dxa"/>
            </w:tcMar>
            <w:vAlign w:val="center"/>
          </w:tcPr>
          <w:p w14:paraId="5E7EB86D" w14:textId="53D8391C"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73" w:type="dxa"/>
            <w:tcBorders>
              <w:top w:val="single" w:sz="8" w:space="0" w:color="000000" w:themeColor="text1"/>
              <w:left w:val="single" w:sz="4" w:space="0" w:color="auto"/>
              <w:bottom w:val="dotted" w:sz="4" w:space="0" w:color="auto"/>
              <w:right w:val="single" w:sz="4" w:space="0" w:color="auto"/>
            </w:tcBorders>
            <w:tcMar>
              <w:top w:w="15" w:type="dxa"/>
              <w:left w:w="15" w:type="dxa"/>
              <w:right w:w="15" w:type="dxa"/>
            </w:tcMar>
            <w:vAlign w:val="center"/>
          </w:tcPr>
          <w:p w14:paraId="171D0AD2" w14:textId="095CB5F5"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73" w:type="dxa"/>
            <w:tcBorders>
              <w:top w:val="single" w:sz="8" w:space="0" w:color="000000" w:themeColor="text1"/>
              <w:left w:val="single" w:sz="4" w:space="0" w:color="auto"/>
              <w:bottom w:val="dotted" w:sz="4" w:space="0" w:color="auto"/>
              <w:right w:val="single" w:sz="4" w:space="0" w:color="auto"/>
            </w:tcBorders>
            <w:tcMar>
              <w:top w:w="15" w:type="dxa"/>
              <w:left w:w="15" w:type="dxa"/>
              <w:right w:w="15" w:type="dxa"/>
            </w:tcMar>
            <w:vAlign w:val="center"/>
          </w:tcPr>
          <w:p w14:paraId="42A5FA5A" w14:textId="6B7B7C46"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c>
          <w:tcPr>
            <w:tcW w:w="1190" w:type="dxa"/>
            <w:tcBorders>
              <w:top w:val="single" w:sz="8" w:space="0" w:color="000000" w:themeColor="text1"/>
              <w:left w:val="single" w:sz="4" w:space="0" w:color="auto"/>
              <w:bottom w:val="dotted" w:sz="4" w:space="0" w:color="auto"/>
              <w:right w:val="single" w:sz="8" w:space="0" w:color="000000" w:themeColor="text1"/>
            </w:tcBorders>
            <w:tcMar>
              <w:top w:w="15" w:type="dxa"/>
              <w:left w:w="15" w:type="dxa"/>
              <w:right w:w="15" w:type="dxa"/>
            </w:tcMar>
            <w:vAlign w:val="center"/>
          </w:tcPr>
          <w:p w14:paraId="27C4AB8F" w14:textId="45FED20B"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800201</w:t>
            </w:r>
          </w:p>
        </w:tc>
      </w:tr>
      <w:tr w:rsidR="31E7085D" w14:paraId="706067A1" w14:textId="77777777" w:rsidTr="31E7085D">
        <w:trPr>
          <w:trHeight w:val="600"/>
        </w:trPr>
        <w:tc>
          <w:tcPr>
            <w:tcW w:w="1173" w:type="dxa"/>
            <w:vMerge w:val="restart"/>
            <w:tcBorders>
              <w:top w:val="dotted" w:sz="4" w:space="0" w:color="auto"/>
              <w:left w:val="single" w:sz="8" w:space="0" w:color="000000" w:themeColor="text1"/>
              <w:bottom w:val="single" w:sz="8" w:space="0" w:color="000000" w:themeColor="text1"/>
              <w:right w:val="single" w:sz="4" w:space="0" w:color="auto"/>
            </w:tcBorders>
            <w:shd w:val="clear" w:color="auto" w:fill="95BB50" w:themeFill="accent5"/>
            <w:tcMar>
              <w:top w:w="15" w:type="dxa"/>
              <w:left w:w="15" w:type="dxa"/>
              <w:right w:w="15" w:type="dxa"/>
            </w:tcMar>
            <w:vAlign w:val="center"/>
          </w:tcPr>
          <w:p w14:paraId="0B9F5E32" w14:textId="55AE2382"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800405</w:t>
            </w:r>
          </w:p>
        </w:tc>
        <w:tc>
          <w:tcPr>
            <w:tcW w:w="1173" w:type="dxa"/>
            <w:vMerge w:val="restart"/>
            <w:tcBorders>
              <w:top w:val="dotted" w:sz="4" w:space="0" w:color="auto"/>
              <w:left w:val="single" w:sz="4" w:space="0" w:color="auto"/>
              <w:bottom w:val="single" w:sz="8" w:space="0" w:color="000000" w:themeColor="text1"/>
              <w:right w:val="single" w:sz="4" w:space="0" w:color="auto"/>
            </w:tcBorders>
            <w:shd w:val="clear" w:color="auto" w:fill="95BB50" w:themeFill="accent5"/>
            <w:tcMar>
              <w:top w:w="15" w:type="dxa"/>
              <w:left w:w="15" w:type="dxa"/>
              <w:right w:w="15" w:type="dxa"/>
            </w:tcMar>
            <w:vAlign w:val="center"/>
          </w:tcPr>
          <w:p w14:paraId="51D1414E" w14:textId="01629525"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800405</w:t>
            </w:r>
          </w:p>
        </w:tc>
        <w:tc>
          <w:tcPr>
            <w:tcW w:w="1173" w:type="dxa"/>
            <w:vMerge w:val="restart"/>
            <w:tcBorders>
              <w:top w:val="dotted" w:sz="4" w:space="0" w:color="auto"/>
              <w:left w:val="single" w:sz="4" w:space="0" w:color="auto"/>
              <w:bottom w:val="single" w:sz="8" w:space="0" w:color="000000" w:themeColor="text1"/>
              <w:right w:val="single" w:sz="4" w:space="0" w:color="auto"/>
            </w:tcBorders>
            <w:shd w:val="clear" w:color="auto" w:fill="95BB50" w:themeFill="accent5"/>
            <w:tcMar>
              <w:top w:w="15" w:type="dxa"/>
              <w:left w:w="15" w:type="dxa"/>
              <w:right w:w="15" w:type="dxa"/>
            </w:tcMar>
            <w:vAlign w:val="center"/>
          </w:tcPr>
          <w:p w14:paraId="770F5D62" w14:textId="67222C28"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800405</w:t>
            </w:r>
          </w:p>
        </w:tc>
        <w:tc>
          <w:tcPr>
            <w:tcW w:w="1173" w:type="dxa"/>
            <w:tcBorders>
              <w:top w:val="dotted" w:sz="4" w:space="0" w:color="auto"/>
              <w:left w:val="single" w:sz="4" w:space="0" w:color="auto"/>
              <w:bottom w:val="dotted" w:sz="4" w:space="0" w:color="auto"/>
              <w:right w:val="single" w:sz="4" w:space="0" w:color="auto"/>
            </w:tcBorders>
            <w:shd w:val="clear" w:color="auto" w:fill="D4E3B8" w:themeFill="accent5" w:themeFillTint="66"/>
            <w:tcMar>
              <w:top w:w="15" w:type="dxa"/>
              <w:left w:w="15" w:type="dxa"/>
              <w:right w:w="15" w:type="dxa"/>
            </w:tcMar>
            <w:vAlign w:val="center"/>
          </w:tcPr>
          <w:p w14:paraId="51C9DD8D" w14:textId="42118373"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800229</w:t>
            </w:r>
          </w:p>
        </w:tc>
        <w:tc>
          <w:tcPr>
            <w:tcW w:w="1173" w:type="dxa"/>
            <w:tcBorders>
              <w:top w:val="dotted" w:sz="4" w:space="0" w:color="auto"/>
              <w:left w:val="single" w:sz="4" w:space="0" w:color="auto"/>
              <w:bottom w:val="dotted" w:sz="4" w:space="0" w:color="auto"/>
              <w:right w:val="single" w:sz="4" w:space="0" w:color="auto"/>
            </w:tcBorders>
            <w:shd w:val="clear" w:color="auto" w:fill="D4E3B8" w:themeFill="accent5" w:themeFillTint="66"/>
            <w:tcMar>
              <w:top w:w="15" w:type="dxa"/>
              <w:left w:w="15" w:type="dxa"/>
              <w:right w:w="15" w:type="dxa"/>
            </w:tcMar>
            <w:vAlign w:val="center"/>
          </w:tcPr>
          <w:p w14:paraId="79FF96EF" w14:textId="38BDFAF7"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800229</w:t>
            </w:r>
          </w:p>
        </w:tc>
        <w:tc>
          <w:tcPr>
            <w:tcW w:w="1173" w:type="dxa"/>
            <w:tcBorders>
              <w:top w:val="dotted" w:sz="4" w:space="0" w:color="auto"/>
              <w:left w:val="single" w:sz="4" w:space="0" w:color="auto"/>
              <w:bottom w:val="dotted" w:sz="4" w:space="0" w:color="auto"/>
              <w:right w:val="single" w:sz="4" w:space="0" w:color="auto"/>
            </w:tcBorders>
            <w:shd w:val="clear" w:color="auto" w:fill="D4E3B8" w:themeFill="accent5" w:themeFillTint="66"/>
            <w:tcMar>
              <w:top w:w="15" w:type="dxa"/>
              <w:left w:w="15" w:type="dxa"/>
              <w:right w:w="15" w:type="dxa"/>
            </w:tcMar>
            <w:vAlign w:val="center"/>
          </w:tcPr>
          <w:p w14:paraId="273F8121" w14:textId="404D392C"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800229</w:t>
            </w:r>
          </w:p>
        </w:tc>
        <w:tc>
          <w:tcPr>
            <w:tcW w:w="1190" w:type="dxa"/>
            <w:tcBorders>
              <w:top w:val="dotted" w:sz="4" w:space="0" w:color="auto"/>
              <w:left w:val="single" w:sz="4" w:space="0" w:color="auto"/>
              <w:bottom w:val="dotted" w:sz="4" w:space="0" w:color="auto"/>
              <w:right w:val="single" w:sz="8" w:space="0" w:color="000000" w:themeColor="text1"/>
            </w:tcBorders>
            <w:shd w:val="clear" w:color="auto" w:fill="D4E3B8" w:themeFill="accent5" w:themeFillTint="66"/>
            <w:tcMar>
              <w:top w:w="15" w:type="dxa"/>
              <w:left w:w="15" w:type="dxa"/>
              <w:right w:w="15" w:type="dxa"/>
            </w:tcMar>
            <w:vAlign w:val="center"/>
          </w:tcPr>
          <w:p w14:paraId="59E981A3" w14:textId="2B2F9474"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800229</w:t>
            </w:r>
          </w:p>
        </w:tc>
      </w:tr>
      <w:tr w:rsidR="31E7085D" w14:paraId="1E7224FC" w14:textId="77777777" w:rsidTr="31E7085D">
        <w:trPr>
          <w:trHeight w:val="300"/>
        </w:trPr>
        <w:tc>
          <w:tcPr>
            <w:tcW w:w="1173" w:type="dxa"/>
            <w:vMerge/>
            <w:tcBorders>
              <w:top w:val="dotted" w:sz="0" w:space="0" w:color="auto"/>
              <w:left w:val="single" w:sz="8" w:space="0" w:color="000000" w:themeColor="text1"/>
              <w:bottom w:val="single" w:sz="8" w:space="0" w:color="000000" w:themeColor="text1"/>
              <w:right w:val="single" w:sz="0" w:space="0" w:color="auto"/>
            </w:tcBorders>
            <w:vAlign w:val="center"/>
          </w:tcPr>
          <w:p w14:paraId="2F838DF3" w14:textId="77777777" w:rsidR="00517BA8" w:rsidRDefault="00517BA8"/>
        </w:tc>
        <w:tc>
          <w:tcPr>
            <w:tcW w:w="1173" w:type="dxa"/>
            <w:vMerge/>
            <w:tcBorders>
              <w:top w:val="dotted" w:sz="0" w:space="0" w:color="auto"/>
              <w:left w:val="single" w:sz="0" w:space="0" w:color="auto"/>
              <w:bottom w:val="single" w:sz="8" w:space="0" w:color="000000" w:themeColor="text1"/>
              <w:right w:val="single" w:sz="0" w:space="0" w:color="auto"/>
            </w:tcBorders>
            <w:vAlign w:val="center"/>
          </w:tcPr>
          <w:p w14:paraId="3E9E7FA8" w14:textId="77777777" w:rsidR="00517BA8" w:rsidRDefault="00517BA8"/>
        </w:tc>
        <w:tc>
          <w:tcPr>
            <w:tcW w:w="1173" w:type="dxa"/>
            <w:vMerge/>
            <w:tcBorders>
              <w:top w:val="dotted" w:sz="0" w:space="0" w:color="auto"/>
              <w:left w:val="single" w:sz="0" w:space="0" w:color="auto"/>
              <w:bottom w:val="single" w:sz="8" w:space="0" w:color="000000" w:themeColor="text1"/>
              <w:right w:val="single" w:sz="0" w:space="0" w:color="auto"/>
            </w:tcBorders>
            <w:vAlign w:val="center"/>
          </w:tcPr>
          <w:p w14:paraId="6F09382A" w14:textId="77777777" w:rsidR="00517BA8" w:rsidRDefault="00517BA8"/>
        </w:tc>
        <w:tc>
          <w:tcPr>
            <w:tcW w:w="1173" w:type="dxa"/>
            <w:tcBorders>
              <w:top w:val="dotted" w:sz="4" w:space="0" w:color="auto"/>
              <w:left w:val="nil"/>
              <w:bottom w:val="single" w:sz="8" w:space="0" w:color="000000" w:themeColor="text1"/>
              <w:right w:val="single" w:sz="4" w:space="0" w:color="auto"/>
            </w:tcBorders>
            <w:shd w:val="clear" w:color="auto" w:fill="D4E3B8" w:themeFill="accent5" w:themeFillTint="66"/>
            <w:tcMar>
              <w:top w:w="15" w:type="dxa"/>
              <w:left w:w="15" w:type="dxa"/>
              <w:right w:w="15" w:type="dxa"/>
            </w:tcMar>
            <w:vAlign w:val="center"/>
          </w:tcPr>
          <w:p w14:paraId="618BB785" w14:textId="00787257"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830204</w:t>
            </w:r>
          </w:p>
        </w:tc>
        <w:tc>
          <w:tcPr>
            <w:tcW w:w="1173" w:type="dxa"/>
            <w:tcBorders>
              <w:top w:val="dotted" w:sz="4" w:space="0" w:color="auto"/>
              <w:left w:val="single" w:sz="4" w:space="0" w:color="auto"/>
              <w:bottom w:val="single" w:sz="8" w:space="0" w:color="000000" w:themeColor="text1"/>
              <w:right w:val="single" w:sz="4" w:space="0" w:color="auto"/>
            </w:tcBorders>
            <w:shd w:val="clear" w:color="auto" w:fill="D4E3B8" w:themeFill="accent5" w:themeFillTint="66"/>
            <w:tcMar>
              <w:top w:w="15" w:type="dxa"/>
              <w:left w:w="15" w:type="dxa"/>
              <w:right w:w="15" w:type="dxa"/>
            </w:tcMar>
            <w:vAlign w:val="center"/>
          </w:tcPr>
          <w:p w14:paraId="5B2385A6" w14:textId="0FE73267"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830204</w:t>
            </w:r>
          </w:p>
        </w:tc>
        <w:tc>
          <w:tcPr>
            <w:tcW w:w="1173" w:type="dxa"/>
            <w:tcBorders>
              <w:top w:val="dotted" w:sz="4" w:space="0" w:color="auto"/>
              <w:left w:val="single" w:sz="4" w:space="0" w:color="auto"/>
              <w:bottom w:val="single" w:sz="8" w:space="0" w:color="000000" w:themeColor="text1"/>
              <w:right w:val="single" w:sz="4" w:space="0" w:color="auto"/>
            </w:tcBorders>
            <w:shd w:val="clear" w:color="auto" w:fill="D4E3B8" w:themeFill="accent5" w:themeFillTint="66"/>
            <w:tcMar>
              <w:top w:w="15" w:type="dxa"/>
              <w:left w:w="15" w:type="dxa"/>
              <w:right w:w="15" w:type="dxa"/>
            </w:tcMar>
            <w:vAlign w:val="center"/>
          </w:tcPr>
          <w:p w14:paraId="030E3C35" w14:textId="71E208A4"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830204</w:t>
            </w:r>
          </w:p>
        </w:tc>
        <w:tc>
          <w:tcPr>
            <w:tcW w:w="1190" w:type="dxa"/>
            <w:tcBorders>
              <w:top w:val="dotted" w:sz="4" w:space="0" w:color="auto"/>
              <w:left w:val="single" w:sz="4" w:space="0" w:color="auto"/>
              <w:bottom w:val="single" w:sz="8" w:space="0" w:color="000000" w:themeColor="text1"/>
              <w:right w:val="single" w:sz="8" w:space="0" w:color="000000" w:themeColor="text1"/>
            </w:tcBorders>
            <w:shd w:val="clear" w:color="auto" w:fill="D4E3B8" w:themeFill="accent5" w:themeFillTint="66"/>
            <w:tcMar>
              <w:top w:w="15" w:type="dxa"/>
              <w:left w:w="15" w:type="dxa"/>
              <w:right w:w="15" w:type="dxa"/>
            </w:tcMar>
            <w:vAlign w:val="center"/>
          </w:tcPr>
          <w:p w14:paraId="6A86EE7D" w14:textId="3F624111" w:rsidR="31E7085D" w:rsidRDefault="31E7085D" w:rsidP="31E7085D">
            <w:pPr>
              <w:spacing w:after="0"/>
              <w:jc w:val="center"/>
              <w:rPr>
                <w:rFonts w:eastAsia="Source Sans Pro Light" w:cs="Source Sans Pro Light"/>
                <w:color w:val="000000" w:themeColor="text1"/>
              </w:rPr>
            </w:pPr>
            <w:r w:rsidRPr="31E7085D">
              <w:rPr>
                <w:rFonts w:eastAsia="Source Sans Pro Light" w:cs="Source Sans Pro Light"/>
                <w:color w:val="000000" w:themeColor="text1"/>
              </w:rPr>
              <w:t>830204</w:t>
            </w:r>
          </w:p>
        </w:tc>
      </w:tr>
    </w:tbl>
    <w:p w14:paraId="4E46D276" w14:textId="7EF07C68" w:rsidR="31E7085D" w:rsidRDefault="31E7085D" w:rsidP="31E7085D"/>
    <w:p w14:paraId="77E2D670" w14:textId="061ECDFD" w:rsidR="476915A3" w:rsidRDefault="4A6BF7C3">
      <w:r>
        <w:t>En raison de ces changements de périmètre et de nature d’exonérations</w:t>
      </w:r>
      <w:r w:rsidR="7F1C84B1">
        <w:t xml:space="preserve"> (cf. Tableau ci-dessous)</w:t>
      </w:r>
      <w:r>
        <w:t>, la collecte systématique des montants à partir du document</w:t>
      </w:r>
      <w:r w:rsidR="77998480">
        <w:t xml:space="preserve"> Excel des “Voies et moyens tome II” </w:t>
      </w:r>
      <w:r w:rsidR="0BF6BDC6">
        <w:t>n'est pas possible</w:t>
      </w:r>
      <w:r w:rsidR="77998480">
        <w:t>. Des calculs particuliers sont alors nécessaires.</w:t>
      </w:r>
    </w:p>
    <w:tbl>
      <w:tblPr>
        <w:tblStyle w:val="Grilledutableau"/>
        <w:tblW w:w="9716" w:type="dxa"/>
        <w:tblLayout w:type="fixed"/>
        <w:tblLook w:val="06A0" w:firstRow="1" w:lastRow="0" w:firstColumn="1" w:lastColumn="0" w:noHBand="1" w:noVBand="1"/>
      </w:tblPr>
      <w:tblGrid>
        <w:gridCol w:w="950"/>
        <w:gridCol w:w="4412"/>
        <w:gridCol w:w="2115"/>
        <w:gridCol w:w="1219"/>
        <w:gridCol w:w="1020"/>
      </w:tblGrid>
      <w:tr w:rsidR="31E7085D" w14:paraId="5725D115" w14:textId="77777777" w:rsidTr="569A7FD7">
        <w:trPr>
          <w:trHeight w:val="300"/>
        </w:trPr>
        <w:tc>
          <w:tcPr>
            <w:tcW w:w="950" w:type="dxa"/>
            <w:shd w:val="clear" w:color="auto" w:fill="000000" w:themeFill="text1"/>
          </w:tcPr>
          <w:p w14:paraId="7EF10618" w14:textId="07FB6558" w:rsidR="4D1764E5" w:rsidRDefault="4D1764E5" w:rsidP="31E7085D">
            <w:pPr>
              <w:jc w:val="center"/>
            </w:pPr>
            <w:r>
              <w:t>Code</w:t>
            </w:r>
          </w:p>
        </w:tc>
        <w:tc>
          <w:tcPr>
            <w:tcW w:w="4412" w:type="dxa"/>
            <w:shd w:val="clear" w:color="auto" w:fill="000000" w:themeFill="text1"/>
          </w:tcPr>
          <w:p w14:paraId="1F246AB1" w14:textId="1482F650" w:rsidR="4D1764E5" w:rsidRDefault="4D1764E5" w:rsidP="31E7085D">
            <w:pPr>
              <w:jc w:val="left"/>
            </w:pPr>
            <w:r>
              <w:t>Titre</w:t>
            </w:r>
          </w:p>
        </w:tc>
        <w:tc>
          <w:tcPr>
            <w:tcW w:w="2115" w:type="dxa"/>
            <w:shd w:val="clear" w:color="auto" w:fill="000000" w:themeFill="text1"/>
          </w:tcPr>
          <w:p w14:paraId="3B323507" w14:textId="535BE9D2" w:rsidR="4D1764E5" w:rsidRDefault="4D1764E5" w:rsidP="31E7085D">
            <w:pPr>
              <w:jc w:val="left"/>
            </w:pPr>
            <w:r>
              <w:t>Produit</w:t>
            </w:r>
          </w:p>
        </w:tc>
        <w:tc>
          <w:tcPr>
            <w:tcW w:w="1219" w:type="dxa"/>
            <w:shd w:val="clear" w:color="auto" w:fill="000000" w:themeFill="text1"/>
          </w:tcPr>
          <w:p w14:paraId="33335AAD" w14:textId="632F6D9D" w:rsidR="4D1764E5" w:rsidRDefault="4D1764E5" w:rsidP="31E7085D">
            <w:pPr>
              <w:jc w:val="left"/>
            </w:pPr>
            <w:r>
              <w:t>Secteurs</w:t>
            </w:r>
          </w:p>
        </w:tc>
        <w:tc>
          <w:tcPr>
            <w:tcW w:w="1020" w:type="dxa"/>
            <w:shd w:val="clear" w:color="auto" w:fill="000000" w:themeFill="text1"/>
          </w:tcPr>
          <w:p w14:paraId="6975D8D1" w14:textId="2D04CF7B" w:rsidR="20BD0CE5" w:rsidRDefault="20BD0CE5" w:rsidP="569A7FD7">
            <w:pPr>
              <w:jc w:val="left"/>
            </w:pPr>
            <w:r>
              <w:t>Période</w:t>
            </w:r>
          </w:p>
        </w:tc>
      </w:tr>
      <w:tr w:rsidR="31E7085D" w14:paraId="3CB137CA" w14:textId="77777777" w:rsidTr="569A7FD7">
        <w:trPr>
          <w:trHeight w:val="300"/>
        </w:trPr>
        <w:tc>
          <w:tcPr>
            <w:tcW w:w="950" w:type="dxa"/>
          </w:tcPr>
          <w:p w14:paraId="033E5617" w14:textId="57955482" w:rsidR="4D1764E5" w:rsidRDefault="687EBE17" w:rsidP="31E7085D">
            <w:pPr>
              <w:jc w:val="center"/>
              <w:rPr>
                <w:rFonts w:eastAsia="Source Sans Pro Light" w:cs="Source Sans Pro Light"/>
                <w:color w:val="000000" w:themeColor="text1"/>
              </w:rPr>
            </w:pPr>
            <w:r w:rsidRPr="569A7FD7">
              <w:rPr>
                <w:rFonts w:eastAsia="Source Sans Pro Light" w:cs="Source Sans Pro Light"/>
                <w:color w:val="000000" w:themeColor="text1"/>
              </w:rPr>
              <w:t xml:space="preserve">800201 </w:t>
            </w:r>
          </w:p>
        </w:tc>
        <w:tc>
          <w:tcPr>
            <w:tcW w:w="4412" w:type="dxa"/>
          </w:tcPr>
          <w:p w14:paraId="6968F0B2" w14:textId="0D0883B4" w:rsidR="2BEC7FA3" w:rsidRDefault="2BEC7FA3" w:rsidP="31E7085D">
            <w:pPr>
              <w:jc w:val="left"/>
            </w:pPr>
            <w:r>
              <w:t>Taux réduit de taxe intérieure de consommation sur le gazole sous condition d’emploi, repris à l'indice 20 du tableau B de l’article 265 du code des douanes</w:t>
            </w:r>
          </w:p>
        </w:tc>
        <w:tc>
          <w:tcPr>
            <w:tcW w:w="2115" w:type="dxa"/>
          </w:tcPr>
          <w:p w14:paraId="40479154" w14:textId="0F3129A1" w:rsidR="4D1764E5" w:rsidRDefault="4D1764E5" w:rsidP="31E7085D">
            <w:pPr>
              <w:jc w:val="left"/>
            </w:pPr>
            <w:r>
              <w:t>Gazole sous condition d’emploi (</w:t>
            </w:r>
            <w:r w:rsidR="0BCE2F31">
              <w:t xml:space="preserve">idem que </w:t>
            </w:r>
            <w:r>
              <w:t>gazole non routier)</w:t>
            </w:r>
          </w:p>
        </w:tc>
        <w:tc>
          <w:tcPr>
            <w:tcW w:w="1219" w:type="dxa"/>
          </w:tcPr>
          <w:p w14:paraId="43B479D5" w14:textId="7A906480" w:rsidR="4D1764E5" w:rsidRDefault="4D1764E5" w:rsidP="31E7085D">
            <w:pPr>
              <w:jc w:val="left"/>
            </w:pPr>
            <w:r>
              <w:t>Tous</w:t>
            </w:r>
          </w:p>
        </w:tc>
        <w:tc>
          <w:tcPr>
            <w:tcW w:w="1020" w:type="dxa"/>
          </w:tcPr>
          <w:p w14:paraId="36E8843E" w14:textId="1110F7DB" w:rsidR="0203AD47" w:rsidRDefault="0203AD47" w:rsidP="569A7FD7">
            <w:pPr>
              <w:jc w:val="left"/>
            </w:pPr>
            <w:r>
              <w:t>2018-2019</w:t>
            </w:r>
          </w:p>
        </w:tc>
      </w:tr>
      <w:tr w:rsidR="31E7085D" w14:paraId="5222AD73" w14:textId="77777777" w:rsidTr="569A7FD7">
        <w:trPr>
          <w:trHeight w:val="300"/>
        </w:trPr>
        <w:tc>
          <w:tcPr>
            <w:tcW w:w="950" w:type="dxa"/>
          </w:tcPr>
          <w:p w14:paraId="45FAD8F4" w14:textId="37B8B5FC" w:rsidR="4D1764E5" w:rsidRDefault="4D1764E5" w:rsidP="31E7085D">
            <w:pPr>
              <w:jc w:val="center"/>
              <w:rPr>
                <w:rFonts w:eastAsia="Source Sans Pro Light" w:cs="Source Sans Pro Light"/>
                <w:color w:val="000000" w:themeColor="text1"/>
              </w:rPr>
            </w:pPr>
            <w:r w:rsidRPr="31E7085D">
              <w:rPr>
                <w:rFonts w:eastAsia="Source Sans Pro Light" w:cs="Source Sans Pro Light"/>
                <w:color w:val="000000" w:themeColor="text1"/>
              </w:rPr>
              <w:t>800201</w:t>
            </w:r>
          </w:p>
          <w:p w14:paraId="11E8F225" w14:textId="022871B1" w:rsidR="4D1764E5" w:rsidRDefault="4D1764E5" w:rsidP="31E7085D">
            <w:pPr>
              <w:jc w:val="center"/>
              <w:rPr>
                <w:rFonts w:eastAsia="Source Sans Pro Light" w:cs="Source Sans Pro Light"/>
                <w:color w:val="000000" w:themeColor="text1"/>
              </w:rPr>
            </w:pPr>
          </w:p>
        </w:tc>
        <w:tc>
          <w:tcPr>
            <w:tcW w:w="4412" w:type="dxa"/>
          </w:tcPr>
          <w:p w14:paraId="04C23DAE" w14:textId="12A2E420" w:rsidR="19B77B6C" w:rsidRDefault="19B77B6C" w:rsidP="31E7085D">
            <w:pPr>
              <w:jc w:val="left"/>
            </w:pPr>
            <w:r>
              <w:t>Tarif réduit de taxe intérieure de consommation du gazole non routier autre que celui utilisé pour les usages agricoles</w:t>
            </w:r>
          </w:p>
        </w:tc>
        <w:tc>
          <w:tcPr>
            <w:tcW w:w="2115" w:type="dxa"/>
          </w:tcPr>
          <w:p w14:paraId="776241C4" w14:textId="6B7B9CA9" w:rsidR="19B77B6C" w:rsidRDefault="19B77B6C" w:rsidP="31E7085D">
            <w:pPr>
              <w:jc w:val="left"/>
            </w:pPr>
            <w:r>
              <w:t>Gazole non routier (GNR)</w:t>
            </w:r>
          </w:p>
        </w:tc>
        <w:tc>
          <w:tcPr>
            <w:tcW w:w="1219" w:type="dxa"/>
          </w:tcPr>
          <w:p w14:paraId="60E3FF26" w14:textId="2112CD44" w:rsidR="19B77B6C" w:rsidRDefault="19B77B6C" w:rsidP="31E7085D">
            <w:pPr>
              <w:jc w:val="left"/>
            </w:pPr>
            <w:r>
              <w:t>Tous sauf agriculture</w:t>
            </w:r>
          </w:p>
        </w:tc>
        <w:tc>
          <w:tcPr>
            <w:tcW w:w="1020" w:type="dxa"/>
          </w:tcPr>
          <w:p w14:paraId="38772025" w14:textId="19B1E33B" w:rsidR="6999F9AE" w:rsidRDefault="6999F9AE" w:rsidP="569A7FD7">
            <w:pPr>
              <w:jc w:val="left"/>
            </w:pPr>
            <w:r>
              <w:t>2020-2024</w:t>
            </w:r>
          </w:p>
        </w:tc>
      </w:tr>
      <w:tr w:rsidR="31E7085D" w14:paraId="5086D57C" w14:textId="77777777" w:rsidTr="569A7FD7">
        <w:trPr>
          <w:trHeight w:val="300"/>
        </w:trPr>
        <w:tc>
          <w:tcPr>
            <w:tcW w:w="950" w:type="dxa"/>
          </w:tcPr>
          <w:p w14:paraId="0B9C9A39" w14:textId="32DA2938" w:rsidR="4D1764E5" w:rsidRDefault="4D1764E5" w:rsidP="31E7085D">
            <w:pPr>
              <w:jc w:val="center"/>
              <w:rPr>
                <w:rFonts w:eastAsia="Source Sans Pro Light" w:cs="Source Sans Pro Light"/>
                <w:color w:val="000000" w:themeColor="text1"/>
              </w:rPr>
            </w:pPr>
            <w:r w:rsidRPr="31E7085D">
              <w:rPr>
                <w:rFonts w:eastAsia="Source Sans Pro Light" w:cs="Source Sans Pro Light"/>
                <w:color w:val="000000" w:themeColor="text1"/>
              </w:rPr>
              <w:t>800405</w:t>
            </w:r>
          </w:p>
        </w:tc>
        <w:tc>
          <w:tcPr>
            <w:tcW w:w="4412" w:type="dxa"/>
          </w:tcPr>
          <w:p w14:paraId="083DCEB8" w14:textId="0554A3C0" w:rsidR="31E7085D" w:rsidRDefault="31E7085D" w:rsidP="31E7085D">
            <w:pPr>
              <w:jc w:val="left"/>
            </w:pPr>
            <w:r>
              <w:t>Tarif réduit de taxe intérieure de consommation (remboursement) pour le gazole non routier, le fioul lourd, le gaz naturel et le gaz de pétrole liquéfié utilisés par les exploitants agricoles</w:t>
            </w:r>
          </w:p>
        </w:tc>
        <w:tc>
          <w:tcPr>
            <w:tcW w:w="2115" w:type="dxa"/>
          </w:tcPr>
          <w:p w14:paraId="482913CE" w14:textId="0CF2D98B" w:rsidR="31E7085D" w:rsidRDefault="31E7085D" w:rsidP="31E7085D">
            <w:pPr>
              <w:jc w:val="left"/>
            </w:pPr>
            <w:r>
              <w:t>Gazole non routier (GNR), fioul lourd, gaz naturel, gaz de pétrole liquéfié (GPL)</w:t>
            </w:r>
          </w:p>
        </w:tc>
        <w:tc>
          <w:tcPr>
            <w:tcW w:w="1219" w:type="dxa"/>
          </w:tcPr>
          <w:p w14:paraId="0BA2A3E2" w14:textId="0017EA0E" w:rsidR="31E7085D" w:rsidRDefault="31E7085D" w:rsidP="31E7085D">
            <w:pPr>
              <w:jc w:val="left"/>
            </w:pPr>
            <w:r>
              <w:t>Agriculture</w:t>
            </w:r>
          </w:p>
        </w:tc>
        <w:tc>
          <w:tcPr>
            <w:tcW w:w="1020" w:type="dxa"/>
          </w:tcPr>
          <w:p w14:paraId="4AA7684E" w14:textId="0F98583B" w:rsidR="20F02FC1" w:rsidRDefault="20F02FC1" w:rsidP="569A7FD7">
            <w:pPr>
              <w:jc w:val="left"/>
            </w:pPr>
            <w:r>
              <w:t>2018-2020</w:t>
            </w:r>
          </w:p>
        </w:tc>
      </w:tr>
      <w:tr w:rsidR="31E7085D" w14:paraId="22259741" w14:textId="77777777" w:rsidTr="569A7FD7">
        <w:trPr>
          <w:trHeight w:val="300"/>
        </w:trPr>
        <w:tc>
          <w:tcPr>
            <w:tcW w:w="950" w:type="dxa"/>
          </w:tcPr>
          <w:p w14:paraId="7FD496B6" w14:textId="04DB3E62" w:rsidR="4D1764E5" w:rsidRDefault="4D1764E5" w:rsidP="31E7085D">
            <w:pPr>
              <w:jc w:val="center"/>
            </w:pPr>
            <w:r>
              <w:t>800229</w:t>
            </w:r>
          </w:p>
        </w:tc>
        <w:tc>
          <w:tcPr>
            <w:tcW w:w="4412" w:type="dxa"/>
          </w:tcPr>
          <w:p w14:paraId="67F69A5D" w14:textId="4CDD6D13" w:rsidR="31E7085D" w:rsidRDefault="31E7085D" w:rsidP="31E7085D">
            <w:pPr>
              <w:jc w:val="left"/>
            </w:pPr>
            <w:r>
              <w:t>Tarif réduit (remboursement) pour le gazole, le fioul lourd et les gaz de pétrole liquéfiés utilisés pour les travaux agricoles et forestiers</w:t>
            </w:r>
          </w:p>
        </w:tc>
        <w:tc>
          <w:tcPr>
            <w:tcW w:w="2115" w:type="dxa"/>
          </w:tcPr>
          <w:p w14:paraId="53653264" w14:textId="25CB8E46" w:rsidR="7B6286BB" w:rsidRDefault="7B6286BB" w:rsidP="31E7085D">
            <w:pPr>
              <w:jc w:val="left"/>
            </w:pPr>
            <w:r>
              <w:t xml:space="preserve">Gazole non routier (GNR), fioul lourd, gaz naturel, gaz de pétrole liquéfié (GPL) </w:t>
            </w:r>
          </w:p>
        </w:tc>
        <w:tc>
          <w:tcPr>
            <w:tcW w:w="1219" w:type="dxa"/>
          </w:tcPr>
          <w:p w14:paraId="1C5E9C2D" w14:textId="38698573" w:rsidR="31E7085D" w:rsidRDefault="31E7085D" w:rsidP="31E7085D">
            <w:pPr>
              <w:jc w:val="left"/>
            </w:pPr>
            <w:r>
              <w:t>Agriculture</w:t>
            </w:r>
          </w:p>
          <w:p w14:paraId="38CE07A0" w14:textId="7F824501" w:rsidR="31E7085D" w:rsidRDefault="31E7085D" w:rsidP="31E7085D">
            <w:pPr>
              <w:jc w:val="left"/>
            </w:pPr>
            <w:r>
              <w:t>Forêt</w:t>
            </w:r>
          </w:p>
        </w:tc>
        <w:tc>
          <w:tcPr>
            <w:tcW w:w="1020" w:type="dxa"/>
          </w:tcPr>
          <w:p w14:paraId="6B4E8707" w14:textId="267B6942" w:rsidR="000F7F7E" w:rsidRDefault="000F7F7E" w:rsidP="569A7FD7">
            <w:pPr>
              <w:jc w:val="left"/>
            </w:pPr>
            <w:r>
              <w:t>2021-2024</w:t>
            </w:r>
          </w:p>
        </w:tc>
      </w:tr>
      <w:tr w:rsidR="31E7085D" w14:paraId="5BC9BB94" w14:textId="77777777" w:rsidTr="569A7FD7">
        <w:trPr>
          <w:trHeight w:val="300"/>
        </w:trPr>
        <w:tc>
          <w:tcPr>
            <w:tcW w:w="950" w:type="dxa"/>
          </w:tcPr>
          <w:p w14:paraId="7037E51F" w14:textId="45F73A5E" w:rsidR="4D1764E5" w:rsidRDefault="4D1764E5" w:rsidP="31E7085D">
            <w:pPr>
              <w:jc w:val="center"/>
            </w:pPr>
            <w:r>
              <w:t>830204</w:t>
            </w:r>
          </w:p>
        </w:tc>
        <w:tc>
          <w:tcPr>
            <w:tcW w:w="4412" w:type="dxa"/>
          </w:tcPr>
          <w:p w14:paraId="2318A310" w14:textId="3E17F9C1" w:rsidR="1993050A" w:rsidRDefault="1993050A" w:rsidP="31E7085D">
            <w:pPr>
              <w:jc w:val="left"/>
            </w:pPr>
            <w:r>
              <w:t>Tarif réduit (remboursement) pour le gaz naturel et le méthane utilisés pour les travaux agricoles et forestiers</w:t>
            </w:r>
          </w:p>
        </w:tc>
        <w:tc>
          <w:tcPr>
            <w:tcW w:w="2115" w:type="dxa"/>
          </w:tcPr>
          <w:p w14:paraId="4EC2E870" w14:textId="7E22C511" w:rsidR="1993050A" w:rsidRDefault="1993050A" w:rsidP="31E7085D">
            <w:pPr>
              <w:jc w:val="left"/>
            </w:pPr>
            <w:r>
              <w:t>Gaz naturel et méthane</w:t>
            </w:r>
          </w:p>
        </w:tc>
        <w:tc>
          <w:tcPr>
            <w:tcW w:w="1219" w:type="dxa"/>
          </w:tcPr>
          <w:p w14:paraId="7FFB44BC" w14:textId="38698573" w:rsidR="1993050A" w:rsidRDefault="1993050A" w:rsidP="31E7085D">
            <w:pPr>
              <w:jc w:val="left"/>
            </w:pPr>
            <w:r>
              <w:t>Agriculture</w:t>
            </w:r>
          </w:p>
          <w:p w14:paraId="39DC0B38" w14:textId="3FA37D51" w:rsidR="1993050A" w:rsidRDefault="1993050A" w:rsidP="31E7085D">
            <w:pPr>
              <w:jc w:val="left"/>
            </w:pPr>
            <w:r>
              <w:t>Forêt</w:t>
            </w:r>
          </w:p>
        </w:tc>
        <w:tc>
          <w:tcPr>
            <w:tcW w:w="1020" w:type="dxa"/>
          </w:tcPr>
          <w:p w14:paraId="43B4AC87" w14:textId="209E53B6" w:rsidR="44868E3E" w:rsidRDefault="44868E3E" w:rsidP="569A7FD7">
            <w:pPr>
              <w:jc w:val="left"/>
            </w:pPr>
            <w:r>
              <w:t>2021-2024</w:t>
            </w:r>
          </w:p>
        </w:tc>
      </w:tr>
    </w:tbl>
    <w:p w14:paraId="2C63A2E2" w14:textId="512F4A34" w:rsidR="31E7085D" w:rsidRDefault="31E7085D" w:rsidP="31E7085D"/>
    <w:p w14:paraId="2EAB966A" w14:textId="6CCB9838" w:rsidR="5A4E6239" w:rsidRDefault="5A4E6239" w:rsidP="569A7FD7">
      <w:r>
        <w:t>D</w:t>
      </w:r>
      <w:r w:rsidR="4D36932E">
        <w:t>épense 800201</w:t>
      </w:r>
      <w:r w:rsidR="7DA2F54B">
        <w:t xml:space="preserve"> </w:t>
      </w:r>
      <w:r w:rsidR="3BFE2F12">
        <w:t xml:space="preserve">(2018 et 2019) </w:t>
      </w:r>
      <w:r w:rsidR="54226104">
        <w:t>:</w:t>
      </w:r>
    </w:p>
    <w:p w14:paraId="0D266F41" w14:textId="40FF205B" w:rsidR="302BC5D4" w:rsidRDefault="302BC5D4">
      <w:pPr>
        <w:pStyle w:val="Paragraphedeliste"/>
        <w:numPr>
          <w:ilvl w:val="0"/>
          <w:numId w:val="3"/>
        </w:numPr>
      </w:pPr>
      <w:r>
        <w:t>Montant</w:t>
      </w:r>
      <w:r w:rsidR="6EC8772E">
        <w:t>s</w:t>
      </w:r>
      <w:r>
        <w:t xml:space="preserve"> prévisionnel</w:t>
      </w:r>
      <w:r w:rsidR="6DC0F140">
        <w:t>s</w:t>
      </w:r>
      <w:r>
        <w:t xml:space="preserve"> : le montant total retenu est celui des VMT II du PLF de l’année N</w:t>
      </w:r>
      <w:r w:rsidR="6562BE69">
        <w:t xml:space="preserve">, multiplié par un pourcentage de </w:t>
      </w:r>
      <w:r w:rsidR="743C7DDF">
        <w:t>part agricole</w:t>
      </w:r>
      <w:r w:rsidR="6562BE69">
        <w:t>. Ce pourcentage est</w:t>
      </w:r>
      <w:r w:rsidR="5397D405">
        <w:t xml:space="preserve"> le ratio entre la part agricole </w:t>
      </w:r>
      <w:r w:rsidR="702499EF">
        <w:t xml:space="preserve">et le total du montant exécuté de cette même dépense </w:t>
      </w:r>
      <w:r w:rsidR="47CA27F4">
        <w:t>800201</w:t>
      </w:r>
      <w:r w:rsidR="702499EF">
        <w:t xml:space="preserve"> (cf. point suivant)</w:t>
      </w:r>
    </w:p>
    <w:p w14:paraId="5301B876" w14:textId="3A67373D" w:rsidR="302BC5D4" w:rsidRDefault="302BC5D4">
      <w:pPr>
        <w:pStyle w:val="Paragraphedeliste"/>
        <w:numPr>
          <w:ilvl w:val="0"/>
          <w:numId w:val="3"/>
        </w:numPr>
      </w:pPr>
      <w:r>
        <w:t>Montant</w:t>
      </w:r>
      <w:r w:rsidR="567F0205">
        <w:t>s</w:t>
      </w:r>
      <w:r>
        <w:t xml:space="preserve"> </w:t>
      </w:r>
      <w:r w:rsidR="58F955C9">
        <w:t>exécuté</w:t>
      </w:r>
      <w:r w:rsidR="567F0205">
        <w:t>s</w:t>
      </w:r>
      <w:r w:rsidR="58F955C9">
        <w:t xml:space="preserve"> : </w:t>
      </w:r>
      <w:r w:rsidR="2589E19B">
        <w:t xml:space="preserve">il s’agit des </w:t>
      </w:r>
      <w:r w:rsidR="116D0571">
        <w:t xml:space="preserve">montants N-1 et N-2 </w:t>
      </w:r>
      <w:r w:rsidR="0B90689F">
        <w:t xml:space="preserve">reportés au VMT II du PLF 2020 pour la dépense 800405, </w:t>
      </w:r>
      <w:r w:rsidR="4D5968D5">
        <w:t>multipliés par</w:t>
      </w:r>
      <w:r w:rsidR="0B90689F">
        <w:t xml:space="preserve"> un pourcentage permettant d’extraire la part attribuable au GNR (la dépense </w:t>
      </w:r>
      <w:r w:rsidR="325825EB">
        <w:t xml:space="preserve">800201 ne porte que sur le GNR, </w:t>
      </w:r>
      <w:r w:rsidR="508328BF">
        <w:t>tandis que</w:t>
      </w:r>
      <w:r w:rsidR="325825EB">
        <w:t xml:space="preserve"> la dépense 800405</w:t>
      </w:r>
      <w:r w:rsidR="5EE3BC53">
        <w:t xml:space="preserve"> porte sur le GNR, fioul lourd, gaz naturel </w:t>
      </w:r>
      <w:r w:rsidR="5EE3BC53">
        <w:lastRenderedPageBreak/>
        <w:t>et GPL</w:t>
      </w:r>
      <w:r w:rsidR="325825EB">
        <w:t xml:space="preserve">). </w:t>
      </w:r>
      <w:r w:rsidR="062BE661">
        <w:t>Les pourcentages sont issus des rapports “Résultats économiques de l’agriculture” d’Agreste (p.71) :</w:t>
      </w:r>
      <w:r w:rsidR="4566E7D5">
        <w:t xml:space="preserve"> 87% en 2018 et 85% en 2019</w:t>
      </w:r>
      <w:r w:rsidR="6BBFAF7E">
        <w:t>.</w:t>
      </w:r>
    </w:p>
    <w:p w14:paraId="4A7AAC2A" w14:textId="07A0A579" w:rsidR="6BBFAF7E" w:rsidRDefault="6BBFAF7E" w:rsidP="01534B3A">
      <w:r>
        <w:t xml:space="preserve">Dépense 800405 (2018 </w:t>
      </w:r>
      <w:r w:rsidR="441CB1FD">
        <w:t xml:space="preserve">et </w:t>
      </w:r>
      <w:r>
        <w:t>20</w:t>
      </w:r>
      <w:r w:rsidR="2774E278">
        <w:t>19</w:t>
      </w:r>
      <w:r>
        <w:t>) :</w:t>
      </w:r>
    </w:p>
    <w:p w14:paraId="7E891AFE" w14:textId="1575C758" w:rsidR="6BBFAF7E" w:rsidRDefault="6BBFAF7E">
      <w:pPr>
        <w:pStyle w:val="Paragraphedeliste"/>
        <w:numPr>
          <w:ilvl w:val="0"/>
          <w:numId w:val="31"/>
        </w:numPr>
      </w:pPr>
      <w:r>
        <w:t>Montants prévisionnel</w:t>
      </w:r>
      <w:r w:rsidR="1BD13A6D">
        <w:t>s</w:t>
      </w:r>
      <w:r>
        <w:t xml:space="preserve"> :</w:t>
      </w:r>
      <w:r w:rsidR="7699BD01">
        <w:t xml:space="preserve"> pour 2018, on retient </w:t>
      </w:r>
      <w:r w:rsidR="36600EC7">
        <w:t xml:space="preserve">le montant fourni pour cette dépense 800405 au VMT II du PLF 2018 </w:t>
      </w:r>
      <w:r w:rsidR="5C29BBD1">
        <w:t>pour l’année 2018</w:t>
      </w:r>
      <w:r w:rsidR="36600EC7">
        <w:t xml:space="preserve">; pour 2019, on retient le montant fourni pour cette dépense </w:t>
      </w:r>
      <w:r w:rsidR="0917ADFD">
        <w:t>au VMT II du PLF2019</w:t>
      </w:r>
      <w:r w:rsidR="3F6FB11B">
        <w:t xml:space="preserve"> </w:t>
      </w:r>
      <w:r w:rsidR="5AB67680">
        <w:t>pour l’année 2018 (montant 2019 non communiqué)</w:t>
      </w:r>
      <w:r w:rsidR="3F6FB11B">
        <w:t>.</w:t>
      </w:r>
      <w:r w:rsidR="4B465EB9">
        <w:t xml:space="preserve"> Ces montants sont multipliés par la part hors GNR (cf. Point précédent) c’est à dire 13 % en 2018 et 15 % en 2019.</w:t>
      </w:r>
    </w:p>
    <w:p w14:paraId="22B5C027" w14:textId="1467FF35" w:rsidR="25C03DB1" w:rsidRDefault="25C03DB1">
      <w:pPr>
        <w:pStyle w:val="Paragraphedeliste"/>
        <w:numPr>
          <w:ilvl w:val="0"/>
          <w:numId w:val="31"/>
        </w:numPr>
      </w:pPr>
      <w:r>
        <w:t xml:space="preserve">Montants exécutés : </w:t>
      </w:r>
      <w:r w:rsidR="7EBD3ED0">
        <w:t>les montants retenus sont pour 2018 et 2019 ceux fournis pour ces mêmes années dans le VMT II du PLF 2020. Là encore, on applique la part hors gazole à ce montant.</w:t>
      </w:r>
    </w:p>
    <w:p w14:paraId="157A206A" w14:textId="4268A5E0" w:rsidR="61E86B46" w:rsidRDefault="6F4381BA" w:rsidP="61E86B46">
      <w:r>
        <w:t>Pour 2020, on retient les montants fournis pour les dépenses 800229 et 800204 des VMT II du PLF2022 pour l’année 2020.</w:t>
      </w:r>
    </w:p>
    <w:p w14:paraId="3EB81E6F" w14:textId="264C3064" w:rsidR="1A325CB5" w:rsidRDefault="7EBD3ED0" w:rsidP="1A325CB5">
      <w:r>
        <w:t>Dépense</w:t>
      </w:r>
      <w:r w:rsidR="369070F4">
        <w:t>s</w:t>
      </w:r>
      <w:r>
        <w:t xml:space="preserve"> 800229 </w:t>
      </w:r>
      <w:r w:rsidR="303C15C1">
        <w:t>et 800204</w:t>
      </w:r>
      <w:r>
        <w:t xml:space="preserve"> </w:t>
      </w:r>
      <w:r w:rsidR="378ECCAA">
        <w:t>(2020-2024)</w:t>
      </w:r>
      <w:r w:rsidR="073B2F3F">
        <w:t xml:space="preserve"> </w:t>
      </w:r>
      <w:r>
        <w:t xml:space="preserve">: </w:t>
      </w:r>
    </w:p>
    <w:p w14:paraId="7B5E0DE1" w14:textId="654BA84C" w:rsidR="43EC2C5C" w:rsidRDefault="171D940E">
      <w:pPr>
        <w:pStyle w:val="Paragraphedeliste"/>
        <w:numPr>
          <w:ilvl w:val="0"/>
          <w:numId w:val="32"/>
        </w:numPr>
      </w:pPr>
      <w:r>
        <w:t>Montants prévisionnels : on retient pour l’année 2020 le montant affiché pour l’année 2020 au VMT II du PLF2021. Pour toutes les autres années</w:t>
      </w:r>
      <w:r w:rsidR="0FC18DED">
        <w:t xml:space="preserve">, on retient le montant pour l’année N du VMT II du PLF de l’année N. </w:t>
      </w:r>
    </w:p>
    <w:p w14:paraId="7BDF4450" w14:textId="396ABA86" w:rsidR="0FC18DED" w:rsidRDefault="0FC18DED">
      <w:pPr>
        <w:pStyle w:val="Paragraphedeliste"/>
        <w:numPr>
          <w:ilvl w:val="0"/>
          <w:numId w:val="32"/>
        </w:numPr>
      </w:pPr>
      <w:r>
        <w:t>Montants exécutés : pour les années 2020 à 2022, on retient le montant fourni pour l’année N dans le VMT II du PLF de l’année N+2. Pour 2023 le montant de l’année</w:t>
      </w:r>
      <w:r w:rsidR="4F2A42CC">
        <w:t xml:space="preserve"> N+1, et 2024 celui de l’année N.</w:t>
      </w:r>
    </w:p>
    <w:p w14:paraId="58809AE3" w14:textId="23C665A0" w:rsidR="4F2A42CC" w:rsidRDefault="4F2A42CC" w:rsidP="744041D0">
      <w:r>
        <w:t xml:space="preserve">Tous ces montants sont multipliés par la part agricole des “travaux agricoles et forestiers). </w:t>
      </w:r>
      <w:r w:rsidR="6A665375">
        <w:t xml:space="preserve">Nous reprenons les </w:t>
      </w:r>
      <w:hyperlink r:id="rId27">
        <w:r w:rsidR="6A665375" w:rsidRPr="1A3229E4">
          <w:rPr>
            <w:rStyle w:val="Lienhypertexte"/>
          </w:rPr>
          <w:t>données SECTEN</w:t>
        </w:r>
      </w:hyperlink>
      <w:r w:rsidR="6A665375">
        <w:t xml:space="preserve"> d’émissions de CO2 du Citepa (2023) : le sous-total "Engins, moteurs et chaudières" "Agriculture" </w:t>
      </w:r>
      <w:r w:rsidR="70D4704E">
        <w:t>divisé par</w:t>
      </w:r>
      <w:r w:rsidR="6A665375">
        <w:t xml:space="preserve"> "Agriculture/sylviculture"</w:t>
      </w:r>
      <w:r w:rsidR="2196804D">
        <w:t xml:space="preserve">, qui est égal à </w:t>
      </w:r>
      <w:r w:rsidR="6A665375">
        <w:t>95% sur tout la période 2014-2022</w:t>
      </w:r>
      <w:r w:rsidR="172A2C07">
        <w:t>.</w:t>
      </w:r>
    </w:p>
    <w:p w14:paraId="2B572407" w14:textId="3C8534CA" w:rsidR="2D1356D4" w:rsidRDefault="45D77E8E" w:rsidP="2D1356D4">
      <w:r>
        <w:t>L’ensemble de ces montants sont affectés au bénéficiaire “Production agricole”.</w:t>
      </w:r>
    </w:p>
    <w:p w14:paraId="2887B7AC" w14:textId="34CC6DB2" w:rsidR="50D9D93B" w:rsidRDefault="50D9D93B" w:rsidP="006558B9">
      <w:pPr>
        <w:pStyle w:val="Titre3"/>
      </w:pPr>
      <w:bookmarkStart w:id="126" w:name="_Toc177052111"/>
      <w:r>
        <w:t>Pour les poids lourds</w:t>
      </w:r>
      <w:bookmarkEnd w:id="126"/>
    </w:p>
    <w:p w14:paraId="19E9DC66" w14:textId="1BD81F7C" w:rsidR="31E7085D" w:rsidRDefault="6A5A3935" w:rsidP="31E7085D">
      <w:r>
        <w:t>Les exonérations de taxes sur la consommation de carburant des poids lourds est moins complexe que celle de l’agriculture. Le seul changement à noter se déroule entre 2019 et 2020 : la dépense“800403 intitulée “Remboursement d'une fraction de taxe intérieure de consommation sur le gazole utilisé par certains véhicules routiers”</w:t>
      </w:r>
      <w:r w:rsidR="2A77B0D9">
        <w:t xml:space="preserve"> est remplacée par la dépense 800221 intitulée “Tarif réduit (remboursement) pour le gazole utilisé comme carburant par les véhicules routiers de transport de marchandises d'au moins 7,5 tonnes”.</w:t>
      </w:r>
    </w:p>
    <w:p w14:paraId="55C51C09" w14:textId="4E41675D" w:rsidR="2A77B0D9" w:rsidRDefault="2A77B0D9" w:rsidP="24B5D1CF">
      <w:r>
        <w:t>Ainsi, pour l’année 2018</w:t>
      </w:r>
      <w:r w:rsidR="6FD61498">
        <w:t>, en montant prévisionnel comme exécuté</w:t>
      </w:r>
      <w:r>
        <w:t>, nous reprenons les montants fournis pour la dépense 800403</w:t>
      </w:r>
      <w:r w:rsidR="1E5CD1E4">
        <w:t xml:space="preserve"> dans le VMT II du PLF2020.</w:t>
      </w:r>
    </w:p>
    <w:p w14:paraId="3AF46107" w14:textId="3AA8874A" w:rsidR="1E5CD1E4" w:rsidRDefault="1E5CD1E4" w:rsidP="1A69A4A2">
      <w:r>
        <w:t>Pour les années suivantes, nous reprenons les montants reportés sous la dépense 800221 : le montant prévisionnel correspond au montant de l’année la plus proche de l’année de publication du PLF</w:t>
      </w:r>
      <w:r w:rsidR="42931B69">
        <w:t xml:space="preserve"> (année N du PLF de l’année N si possible)</w:t>
      </w:r>
      <w:r>
        <w:t>, et le monta</w:t>
      </w:r>
      <w:r w:rsidR="1FF6AC71">
        <w:t>nt réalisé le plus éloigné</w:t>
      </w:r>
      <w:r w:rsidR="0592C581">
        <w:t xml:space="preserve"> (année N-2 du PLF de l’année N).</w:t>
      </w:r>
    </w:p>
    <w:p w14:paraId="23FCBA27" w14:textId="44D9021C" w:rsidR="0592C581" w:rsidRDefault="0592C581" w:rsidP="73A31645">
      <w:r>
        <w:t xml:space="preserve">Nous multiplions tous ces montants par la part que représente le transport de marchandises agricoles et alimentaires dans le total de la consommation de carburant des poids lourds en France </w:t>
      </w:r>
      <w:r w:rsidR="5200BE3F">
        <w:t>: c’est à dire environs 31 % d’après les “Tableaux de l'économie française, Transports de marchandises en 2016” de l’Insee.</w:t>
      </w:r>
    </w:p>
    <w:p w14:paraId="42D34D69" w14:textId="33805719" w:rsidR="0FA3973F" w:rsidRDefault="0FA3973F" w:rsidP="001B6CA9">
      <w:pPr>
        <w:pStyle w:val="Titre2"/>
      </w:pPr>
      <w:bookmarkStart w:id="127" w:name="_Toc177052112"/>
      <w:r>
        <w:t>Les dépenses fiscales déclassées</w:t>
      </w:r>
      <w:bookmarkEnd w:id="127"/>
    </w:p>
    <w:p w14:paraId="36EB824D" w14:textId="5EC5ED22" w:rsidR="54038562" w:rsidRDefault="4863FDD0" w:rsidP="54038562">
      <w:r>
        <w:t>Dernière exception : les dépenses fiscales déclassées</w:t>
      </w:r>
      <w:r w:rsidR="34181D48">
        <w:t>. Comme expliqué dans la partie</w:t>
      </w:r>
      <w:r w:rsidR="000C69A4">
        <w:t xml:space="preserve"> </w:t>
      </w:r>
      <w:r w:rsidR="000C69A4">
        <w:rPr>
          <w:highlight w:val="yellow"/>
        </w:rPr>
        <w:fldChar w:fldCharType="begin"/>
      </w:r>
      <w:r w:rsidR="000C69A4">
        <w:instrText xml:space="preserve"> REF _Ref177050163 \r \h </w:instrText>
      </w:r>
      <w:r w:rsidR="000C69A4">
        <w:rPr>
          <w:highlight w:val="yellow"/>
        </w:rPr>
      </w:r>
      <w:r w:rsidR="000C69A4">
        <w:rPr>
          <w:highlight w:val="yellow"/>
        </w:rPr>
        <w:fldChar w:fldCharType="separate"/>
      </w:r>
      <w:r w:rsidR="000C69A4">
        <w:t>10.1.1</w:t>
      </w:r>
      <w:r w:rsidR="000C69A4">
        <w:rPr>
          <w:highlight w:val="yellow"/>
        </w:rPr>
        <w:fldChar w:fldCharType="end"/>
      </w:r>
      <w:r w:rsidR="34181D48">
        <w:t>, les montants de dépenses fiscales que nous collectons sont ceux calculés par l’</w:t>
      </w:r>
      <w:r w:rsidR="00594801">
        <w:t>État</w:t>
      </w:r>
      <w:r w:rsidR="34181D48">
        <w:t>, et donc reconnu</w:t>
      </w:r>
      <w:r w:rsidR="00E008BA">
        <w:t>s</w:t>
      </w:r>
      <w:r w:rsidR="34181D48">
        <w:t xml:space="preserve"> par celui-ci comme des dépenses fiscales. </w:t>
      </w:r>
      <w:r w:rsidR="0907E0EA">
        <w:t xml:space="preserve">Les </w:t>
      </w:r>
      <w:r w:rsidR="34181D48">
        <w:t xml:space="preserve">particularités fiscales </w:t>
      </w:r>
      <w:r w:rsidR="06137345">
        <w:t xml:space="preserve">qui ne sont plus considérées comme des dépenses fiscales par </w:t>
      </w:r>
      <w:r w:rsidR="06137345">
        <w:lastRenderedPageBreak/>
        <w:t>l’</w:t>
      </w:r>
      <w:r w:rsidR="00594801">
        <w:t>État</w:t>
      </w:r>
      <w:r w:rsidR="06137345">
        <w:t xml:space="preserve"> sont des dépenses fiscales déclassées. Il est ainsi particulièrement difficile d’être exhaustif à leur égard à moins de réalis</w:t>
      </w:r>
      <w:r w:rsidR="2DFB8315">
        <w:t>er un examen approfondi de l’historique des dépenses fiscales sur les dernières décennies.</w:t>
      </w:r>
    </w:p>
    <w:p w14:paraId="0974A157" w14:textId="5710025C" w:rsidR="2DFB8315" w:rsidRDefault="2DFB8315" w:rsidP="2B91AAEF">
      <w:r>
        <w:t xml:space="preserve">Certaines de ces dépenses fiscales déclassées sont toutefois toujours calculées dans les documents Excel des VMT II. </w:t>
      </w:r>
      <w:r w:rsidR="0F3CD73F">
        <w:t xml:space="preserve">C’est en particulier le cas de certaines niches fiscales défavorables au climat, </w:t>
      </w:r>
      <w:hyperlink r:id="rId28">
        <w:r w:rsidR="0F3CD73F" w:rsidRPr="3E3071A1">
          <w:rPr>
            <w:rStyle w:val="Lienhypertexte"/>
          </w:rPr>
          <w:t>étudiées par I4CE en 2022</w:t>
        </w:r>
      </w:hyperlink>
      <w:r w:rsidR="0F3CD73F">
        <w:t>.</w:t>
      </w:r>
      <w:r w:rsidR="6FE0F0F6">
        <w:t xml:space="preserve"> Parmi celles-ci, on retrouve les exonérations de taxe intérieure de consommation pour les produits énergétiques (TICPE) des aéronefs et bateaux (hors loisir). </w:t>
      </w:r>
    </w:p>
    <w:p w14:paraId="740AAD0D" w14:textId="2983AAA4" w:rsidR="7B8982E3" w:rsidRDefault="7B8982E3" w:rsidP="4CB24CEE">
      <w:r>
        <w:t xml:space="preserve">Nous n’avons pas inclus ces dépenses fiscales déclassées par manque de données. Il aurait été possible de reprendre les montants fournis dans les documents Excel des VMT II, mais l’étape suivante de calcul d’un pourcentage d’attribution au système alimentaire était trop compliquée. </w:t>
      </w:r>
      <w:r w:rsidR="27898BC7">
        <w:t xml:space="preserve">En effet, pour calculer un tel pourcentage, il aurait fallu connaitre les volumes de carburants achetés en France par les aéronefs et bateaux (l’exonération de TICPE ne s’appliquant que sur le territoire français), et parmi ces volumes, la part </w:t>
      </w:r>
      <w:r w:rsidR="2DF8B80D">
        <w:t xml:space="preserve">de carburants utilisés pour le loisir (afin de le retrancher, comme l’exonération ne porte pas dessus), ainsi que la part utilisée pour le transport de marchandises agricoles et alimentaires dans le total du transport aérien, maritime et fluvial, ainsi que pour les bateaux, la part de la pêche dans la consommation de carburant. </w:t>
      </w:r>
    </w:p>
    <w:p w14:paraId="097F85AD" w14:textId="33C3DED6" w:rsidR="7B8982E3" w:rsidRDefault="183DEA62" w:rsidP="03E69C39">
      <w:r>
        <w:t>Ce manque de données est négligeable en ce qui concerne le transport aérien (</w:t>
      </w:r>
      <w:r w:rsidR="3A640A3B">
        <w:t xml:space="preserve">entre 10 et 15 millions d’euros </w:t>
      </w:r>
      <w:r w:rsidR="666EC7DA">
        <w:t xml:space="preserve">de dépense fiscale déclassée </w:t>
      </w:r>
      <w:r w:rsidR="3A640A3B">
        <w:t>pour les aéronefs</w:t>
      </w:r>
      <w:r w:rsidR="15543179">
        <w:t>), mais pas nécessairement pour le transport maritime, fluvial, et la pêche (</w:t>
      </w:r>
      <w:r w:rsidR="3A640A3B">
        <w:t>entre 500 et 600 millions d</w:t>
      </w:r>
      <w:r w:rsidR="25FF777A">
        <w:t xml:space="preserve">’euros </w:t>
      </w:r>
      <w:r w:rsidR="27F5DF80">
        <w:t xml:space="preserve">de dépense fiscale déclassée </w:t>
      </w:r>
      <w:r w:rsidR="25FF777A">
        <w:t xml:space="preserve">pour les </w:t>
      </w:r>
      <w:r w:rsidR="27F5DF80">
        <w:t>aéronefs</w:t>
      </w:r>
      <w:r w:rsidR="25FF777A">
        <w:t>)</w:t>
      </w:r>
      <w:r w:rsidR="21A1844D">
        <w:t>.</w:t>
      </w:r>
    </w:p>
    <w:p w14:paraId="7B66E3F9" w14:textId="1FAC67ED" w:rsidR="006239F3" w:rsidRPr="006239F3" w:rsidRDefault="20A21425" w:rsidP="001B6CA9">
      <w:pPr>
        <w:pStyle w:val="Titre2"/>
      </w:pPr>
      <w:bookmarkStart w:id="128" w:name="_Toc177052113"/>
      <w:r>
        <w:t>Données manquantes et limites</w:t>
      </w:r>
      <w:bookmarkEnd w:id="128"/>
    </w:p>
    <w:p w14:paraId="7A13C049" w14:textId="6E95961F" w:rsidR="006239F3" w:rsidRPr="006239F3" w:rsidRDefault="4B1D3A28" w:rsidP="47EEDD1A">
      <w:r>
        <w:t xml:space="preserve">Malgré nos efforts pour nous rapprocher d’un recensement exhaustif, </w:t>
      </w:r>
      <w:r w:rsidRPr="47EEDD1A">
        <w:rPr>
          <w:b/>
          <w:bCs/>
        </w:rPr>
        <w:t>il est certain que le montant total des dépenses fiscales dédiées au système alimentaire estimé ici est un minimum</w:t>
      </w:r>
      <w:r>
        <w:t>. En effet, non seulement il est possible que nous n’ayons pas retenu toutes les dépenses fiscales (notamment généralistes, sur lesquelles notre méthodologie de recherche de mots clés ne peut fonctionner)</w:t>
      </w:r>
      <w:r w:rsidR="35326617">
        <w:t>. De plus, comme</w:t>
      </w:r>
      <w:r w:rsidR="31776EC3">
        <w:t xml:space="preserve"> </w:t>
      </w:r>
      <w:r w:rsidR="6295CAF1">
        <w:t xml:space="preserve">décrit dans la partie </w:t>
      </w:r>
      <w:r w:rsidR="006A7D04">
        <w:fldChar w:fldCharType="begin"/>
      </w:r>
      <w:r w:rsidR="006A7D04">
        <w:instrText xml:space="preserve"> REF _Ref177050249 \r \h </w:instrText>
      </w:r>
      <w:r w:rsidR="006A7D04">
        <w:fldChar w:fldCharType="separate"/>
      </w:r>
      <w:r w:rsidR="006A7D04">
        <w:t>2.2</w:t>
      </w:r>
      <w:r w:rsidR="006A7D04">
        <w:fldChar w:fldCharType="end"/>
      </w:r>
      <w:r w:rsidR="6295CAF1">
        <w:t>, il nous manque des données pour complètement proratiser les dépenses fiscales dédiées à plusieurs secteurs</w:t>
      </w:r>
      <w:r w:rsidR="31776EC3">
        <w:t xml:space="preserve">. </w:t>
      </w:r>
      <w:r w:rsidR="3984D301">
        <w:t xml:space="preserve">Seules une base de données </w:t>
      </w:r>
      <w:r w:rsidR="20A7551D">
        <w:t>ventilées par secteurs d’activité</w:t>
      </w:r>
      <w:r w:rsidR="3984D301">
        <w:t xml:space="preserve"> </w:t>
      </w:r>
      <w:r w:rsidR="2BF81B6D">
        <w:t xml:space="preserve">(code NAF niveau 3) </w:t>
      </w:r>
      <w:r w:rsidR="31776EC3">
        <w:t>de la DGFiP</w:t>
      </w:r>
      <w:r w:rsidR="5328E385">
        <w:t xml:space="preserve"> </w:t>
      </w:r>
      <w:r w:rsidR="124DB1F5">
        <w:t>permettrait de pallier complètement cette incomplétude.</w:t>
      </w:r>
    </w:p>
    <w:p w14:paraId="49ADB0CE" w14:textId="44207418" w:rsidR="124DB1F5" w:rsidRDefault="124DB1F5">
      <w:r>
        <w:t xml:space="preserve">Même si nous disposions de ces données, notre estimation serait </w:t>
      </w:r>
      <w:r w:rsidR="7E5AD8D7">
        <w:t xml:space="preserve">cependant </w:t>
      </w:r>
      <w:r>
        <w:t>toujours aussi dé</w:t>
      </w:r>
      <w:r w:rsidR="1F54A5BD">
        <w:t>pendant</w:t>
      </w:r>
      <w:r w:rsidR="6A76CC38">
        <w:t>e</w:t>
      </w:r>
      <w:r w:rsidR="1F54A5BD">
        <w:t xml:space="preserve"> de ce que l’</w:t>
      </w:r>
      <w:r w:rsidR="00594801">
        <w:t>État</w:t>
      </w:r>
      <w:r w:rsidR="1F54A5BD">
        <w:t xml:space="preserve"> considère comme une dépense fiscale. </w:t>
      </w:r>
    </w:p>
    <w:p w14:paraId="5D77BC87" w14:textId="77777777" w:rsidR="002E7AE2" w:rsidRDefault="002E7AE2"/>
    <w:p w14:paraId="20907E47" w14:textId="22679031" w:rsidR="00EC11C7" w:rsidRDefault="7E121583" w:rsidP="006558B9">
      <w:pPr>
        <w:pStyle w:val="Titre1"/>
      </w:pPr>
      <w:bookmarkStart w:id="129" w:name="_Toc177052114"/>
      <w:r>
        <w:t>Dépenses budgétaires des collectivités territoriales</w:t>
      </w:r>
      <w:bookmarkEnd w:id="129"/>
    </w:p>
    <w:p w14:paraId="7F92888B" w14:textId="11430BE0" w:rsidR="63A91352" w:rsidRDefault="75B5F014" w:rsidP="001B6CA9">
      <w:pPr>
        <w:pStyle w:val="Titre2"/>
      </w:pPr>
      <w:r>
        <w:t xml:space="preserve"> </w:t>
      </w:r>
      <w:bookmarkStart w:id="130" w:name="_Toc177052115"/>
      <w:r>
        <w:t>Présentation générale et sources principales des données</w:t>
      </w:r>
      <w:bookmarkEnd w:id="130"/>
    </w:p>
    <w:p w14:paraId="366AFCAB" w14:textId="1726554B" w:rsidR="387B1B26" w:rsidRDefault="387B1B26" w:rsidP="47EEDD1A">
      <w:r>
        <w:t xml:space="preserve">Les collectivités territoriales </w:t>
      </w:r>
      <w:r w:rsidR="0CA27B4F">
        <w:t>se divisent en trois : le</w:t>
      </w:r>
      <w:r>
        <w:t xml:space="preserve"> bloc communal (communes et EPCI), </w:t>
      </w:r>
      <w:r w:rsidR="21DE285C">
        <w:t xml:space="preserve">les </w:t>
      </w:r>
      <w:r>
        <w:t xml:space="preserve">départements et </w:t>
      </w:r>
      <w:r w:rsidR="29B29C76">
        <w:t xml:space="preserve">les </w:t>
      </w:r>
      <w:r>
        <w:t xml:space="preserve">régions. </w:t>
      </w:r>
      <w:r w:rsidR="0CF72C3C">
        <w:t>Toutes</w:t>
      </w:r>
      <w:r w:rsidR="777A18DF">
        <w:t xml:space="preserve"> les</w:t>
      </w:r>
      <w:r w:rsidR="11FD64AE">
        <w:t xml:space="preserve"> collectivités territoriales doivent rapporter chaque année leurs dépenses, ventilées par fonction</w:t>
      </w:r>
      <w:r w:rsidR="41B6BA51">
        <w:t xml:space="preserve"> (</w:t>
      </w:r>
      <w:r w:rsidR="37524FBF">
        <w:t>Action économique, aménagement du territoire, culture, environnement etc.</w:t>
      </w:r>
      <w:r w:rsidR="41B6BA51">
        <w:t>)</w:t>
      </w:r>
      <w:r w:rsidR="11FD64AE">
        <w:t xml:space="preserve"> et par nature (</w:t>
      </w:r>
      <w:r w:rsidR="14B015ED">
        <w:t>investissement ou fonctionnement)</w:t>
      </w:r>
      <w:r w:rsidR="0467283F">
        <w:t>. Ces comptes sont agrégés par l’</w:t>
      </w:r>
      <w:hyperlink r:id="rId29">
        <w:r w:rsidR="0467283F" w:rsidRPr="47EEDD1A">
          <w:rPr>
            <w:rStyle w:val="Lienhypertexte"/>
          </w:rPr>
          <w:t xml:space="preserve">Observatoire </w:t>
        </w:r>
        <w:r w:rsidR="7257A9D6" w:rsidRPr="47EEDD1A">
          <w:rPr>
            <w:rStyle w:val="Lienhypertexte"/>
          </w:rPr>
          <w:t>des finances et de la gestion publique locales</w:t>
        </w:r>
      </w:hyperlink>
      <w:r w:rsidR="7257A9D6">
        <w:t xml:space="preserve"> (OFGL). </w:t>
      </w:r>
    </w:p>
    <w:p w14:paraId="6470B5A3" w14:textId="776FEBF9" w:rsidR="7257A9D6" w:rsidRDefault="7257A9D6" w:rsidP="47EEDD1A">
      <w:r>
        <w:t xml:space="preserve">Ces documents budgétaires devraient donc pouvoir en principe nous permettre de collecter simplement les montants des dépenses dont la fonction concerne le système alimentaire. </w:t>
      </w:r>
      <w:r w:rsidR="381A2184">
        <w:t>Ces fonctions ne sont cependant pas très agrégées :</w:t>
      </w:r>
      <w:r>
        <w:t xml:space="preserve"> la fonction “</w:t>
      </w:r>
      <w:r w:rsidR="5C8DCF41">
        <w:t xml:space="preserve">Action économique &gt; Aides à l’agriculture et aux industries agro-alimentaires" est la seule </w:t>
      </w:r>
      <w:r w:rsidR="2DBBB041">
        <w:t xml:space="preserve">à être exclusivement dédiée au système alimentaire. </w:t>
      </w:r>
    </w:p>
    <w:p w14:paraId="417C7187" w14:textId="1FD39F31" w:rsidR="2DBBB041" w:rsidRDefault="2DBBB041" w:rsidP="47EEDD1A">
      <w:r>
        <w:lastRenderedPageBreak/>
        <w:t>Or nous savons que les collectivités territoriales ont notamment la charge de l’enseignement primaire (communes) et secondaire (collège pour les départements, lycées pour les régions). El</w:t>
      </w:r>
      <w:r w:rsidR="6667B84B">
        <w:t xml:space="preserve">les financent donc les dépenses publiques de restauration collective scolaire. De plus, les départements ont la charge des EHPAD et autres </w:t>
      </w:r>
      <w:r w:rsidR="0E000E39">
        <w:t>établissements d’accueil pour les séniors.</w:t>
      </w:r>
    </w:p>
    <w:p w14:paraId="1FF9AD19" w14:textId="1C7A70A0" w:rsidR="0E000E39" w:rsidRDefault="0E000E39" w:rsidP="47EEDD1A">
      <w:r>
        <w:t>Enfin, les collectivités territoriales remplissent également des missions sociales, et notamment contribuent à l’aide alimentaire.</w:t>
      </w:r>
    </w:p>
    <w:p w14:paraId="7E12D354" w14:textId="33786AC5" w:rsidR="0E000E39" w:rsidRDefault="0E000E39" w:rsidP="001B6CA9">
      <w:pPr>
        <w:pStyle w:val="Titre2"/>
      </w:pPr>
      <w:bookmarkStart w:id="131" w:name="_Toc177052116"/>
      <w:r>
        <w:t xml:space="preserve">Les </w:t>
      </w:r>
      <w:r w:rsidR="7BEF8063">
        <w:t>a</w:t>
      </w:r>
      <w:r>
        <w:t>ides à l’agriculture et aux industries agro-alimentaires</w:t>
      </w:r>
      <w:bookmarkEnd w:id="131"/>
    </w:p>
    <w:p w14:paraId="45356E0D" w14:textId="1588A9D4" w:rsidR="5680FB4E" w:rsidRDefault="5680FB4E">
      <w:r>
        <w:t>Nous collectons l’ensemble des montants affectés à la fonction “Aides à l’agriculture et aux industries agro-alimentaires"</w:t>
      </w:r>
      <w:r w:rsidR="005001F8">
        <w:rPr>
          <w:rStyle w:val="Appelnotedebasdep"/>
        </w:rPr>
        <w:footnoteReference w:id="22"/>
      </w:r>
      <w:r w:rsidR="68B27B27">
        <w:t xml:space="preserve"> pour la période 2018-202</w:t>
      </w:r>
      <w:r w:rsidR="4C9335F2">
        <w:t>2</w:t>
      </w:r>
      <w:r>
        <w:t xml:space="preserve">, que nous ventilons par source </w:t>
      </w:r>
      <w:r w:rsidR="422B7577">
        <w:t>(</w:t>
      </w:r>
      <w:r>
        <w:t>bloc communal, départements et régions</w:t>
      </w:r>
      <w:r w:rsidR="62EB3E0F">
        <w:t>) et par horizon temporel de la dépense (OPEX/CAPEX)</w:t>
      </w:r>
      <w:r>
        <w:t>. Fau</w:t>
      </w:r>
      <w:r w:rsidR="2341DC37">
        <w:t xml:space="preserve">te de granularité, nous affectons la totalité de ces montants à la thématique “Mixte” et au </w:t>
      </w:r>
      <w:r w:rsidR="6D602837">
        <w:t>bénéficiaire “TRANSVERSE”.</w:t>
      </w:r>
    </w:p>
    <w:p w14:paraId="4BF20231" w14:textId="4A45E394" w:rsidR="7537E64A" w:rsidRDefault="0B95FEBA" w:rsidP="7537E64A">
      <w:r>
        <w:t>Pour la période 2023-2024, nous avons repris la moyenne des années 2021-2022 (deux seules disponibles) pour le bloc communal, et réalisé une projection linéaire de</w:t>
      </w:r>
      <w:r w:rsidR="530A2F5D">
        <w:t xml:space="preserve"> la période 2018-2022 sur la période 2022-2024 pour les départements et régions.</w:t>
      </w:r>
    </w:p>
    <w:p w14:paraId="3FCD74DA" w14:textId="1493D289" w:rsidR="620A285D" w:rsidRDefault="137C2B4F" w:rsidP="47EEDD1A">
      <w:r>
        <w:t>Ne disposant que des montants exécutés, nous retenons ces mêmes montants pour la partie “prévisionnelle”</w:t>
      </w:r>
      <w:r w:rsidR="7A76DA15">
        <w:t xml:space="preserve"> des années 2018</w:t>
      </w:r>
      <w:r w:rsidR="6A1D1B2F">
        <w:t xml:space="preserve"> à </w:t>
      </w:r>
      <w:r w:rsidR="7A76DA15">
        <w:t>2024.</w:t>
      </w:r>
    </w:p>
    <w:p w14:paraId="72348632" w14:textId="58182D5C" w:rsidR="6D602837" w:rsidRDefault="6D602837" w:rsidP="47EEDD1A">
      <w:r>
        <w:t>A noter que la qualification des dépenses par fonction est relativement peu fiable, car à la fois encore peu harmonisée au sein des milliers de collectivités territoriales, et pas toujours parfaitement respectée</w:t>
      </w:r>
      <w:r w:rsidR="5AEB8674">
        <w:t xml:space="preserve">. Ainsi, le montant retenu </w:t>
      </w:r>
      <w:r w:rsidR="3694C8A4">
        <w:t>est un ordre de grandeur à considérer avec une certaine précaution.</w:t>
      </w:r>
    </w:p>
    <w:p w14:paraId="6A443160" w14:textId="741602E2" w:rsidR="003C50D5" w:rsidRDefault="20953222" w:rsidP="001B6CA9">
      <w:pPr>
        <w:pStyle w:val="Titre2"/>
      </w:pPr>
      <w:bookmarkStart w:id="132" w:name="_Toc563633805"/>
      <w:bookmarkStart w:id="133" w:name="_Toc177052117"/>
      <w:r>
        <w:t>Restauration collective</w:t>
      </w:r>
      <w:bookmarkEnd w:id="132"/>
      <w:bookmarkEnd w:id="133"/>
    </w:p>
    <w:p w14:paraId="55273087" w14:textId="3E6F36C1" w:rsidR="003C50D5" w:rsidRDefault="003C50D5">
      <w:r>
        <w:t>Les collectivités prennent en charge une partie du coût des repas de la restauration collective</w:t>
      </w:r>
      <w:r w:rsidR="66183C67">
        <w:t xml:space="preserve"> publique</w:t>
      </w:r>
      <w:r>
        <w:t>.</w:t>
      </w:r>
      <w:r w:rsidR="00021E68">
        <w:t xml:space="preserve"> </w:t>
      </w:r>
      <w:r w:rsidR="2A079255">
        <w:t xml:space="preserve">Contrairement aux “Aides à l’agriculture et aux industries agro-alimentaires", ces aides ne sont pas isolées dans les rapports budgétaires des collectivités. </w:t>
      </w:r>
      <w:r w:rsidR="2355204A">
        <w:t xml:space="preserve">Seule la restauration scolaire est partiellement isolée dans la </w:t>
      </w:r>
      <w:r w:rsidR="1B14BEB6">
        <w:t xml:space="preserve">fonction </w:t>
      </w:r>
      <w:r w:rsidR="2355204A">
        <w:t>“Hébergement et restauration scolaires”</w:t>
      </w:r>
      <w:r w:rsidR="23073FB6">
        <w:t>.</w:t>
      </w:r>
    </w:p>
    <w:p w14:paraId="1F531728" w14:textId="59E405EF" w:rsidR="0072635B" w:rsidRDefault="252AA76C">
      <w:r>
        <w:t>L</w:t>
      </w:r>
      <w:r w:rsidR="00ED75EC" w:rsidRPr="01F3D2E2">
        <w:rPr>
          <w:rStyle w:val="ui-provider"/>
        </w:rPr>
        <w:t xml:space="preserve">es dépenses publiques </w:t>
      </w:r>
      <w:r w:rsidR="14EE2A15" w:rsidRPr="01F3D2E2">
        <w:rPr>
          <w:rStyle w:val="ui-provider"/>
        </w:rPr>
        <w:t>de restauration collective publique fléchées vers</w:t>
      </w:r>
      <w:r w:rsidR="00ED75EC" w:rsidRPr="01F3D2E2">
        <w:rPr>
          <w:rStyle w:val="ui-provider"/>
        </w:rPr>
        <w:t xml:space="preserve"> l'</w:t>
      </w:r>
      <w:r w:rsidR="7B7EA374" w:rsidRPr="01F3D2E2">
        <w:rPr>
          <w:rStyle w:val="ui-provider"/>
        </w:rPr>
        <w:t xml:space="preserve">agriculture biologique (AB), aux signes de l’origine et de la qualité (SIQO), et à la transition alimentaire </w:t>
      </w:r>
      <w:r w:rsidR="63D8227F" w:rsidRPr="01F3D2E2">
        <w:rPr>
          <w:rStyle w:val="ui-provider"/>
        </w:rPr>
        <w:t>n’ont pas pu être identifiées comme telles</w:t>
      </w:r>
      <w:r w:rsidR="00ED75EC" w:rsidRPr="01F3D2E2">
        <w:rPr>
          <w:rStyle w:val="ui-provider"/>
        </w:rPr>
        <w:t xml:space="preserve"> </w:t>
      </w:r>
      <w:r w:rsidR="22BEC417" w:rsidRPr="01F3D2E2">
        <w:rPr>
          <w:rStyle w:val="ui-provider"/>
        </w:rPr>
        <w:t xml:space="preserve">dans notre étude, car nous </w:t>
      </w:r>
      <w:r w:rsidR="349EC14A">
        <w:t xml:space="preserve">ne disposons </w:t>
      </w:r>
      <w:r w:rsidR="00ED75EC" w:rsidRPr="01F3D2E2">
        <w:rPr>
          <w:rStyle w:val="ui-provider"/>
        </w:rPr>
        <w:t>pas</w:t>
      </w:r>
      <w:r w:rsidR="4F282E09" w:rsidRPr="01F3D2E2">
        <w:rPr>
          <w:rStyle w:val="ui-provider"/>
        </w:rPr>
        <w:t xml:space="preserve"> des données indiquant</w:t>
      </w:r>
      <w:r w:rsidR="00ED75EC" w:rsidRPr="01F3D2E2">
        <w:rPr>
          <w:rStyle w:val="ui-provider"/>
        </w:rPr>
        <w:t xml:space="preserve"> la part </w:t>
      </w:r>
      <w:r w:rsidR="16E039ED">
        <w:t xml:space="preserve">des produits AB ou SIQO ou des repas végétariens </w:t>
      </w:r>
      <w:r w:rsidR="7B74A80E">
        <w:t>dans les repas servis</w:t>
      </w:r>
      <w:r w:rsidR="7B74A80E" w:rsidRPr="01F3D2E2">
        <w:rPr>
          <w:rStyle w:val="ui-provider"/>
        </w:rPr>
        <w:t xml:space="preserve">. La restauration collective publique est pourtant soumise à des objectifs </w:t>
      </w:r>
      <w:r w:rsidR="6203BBEA" w:rsidRPr="01F3D2E2">
        <w:rPr>
          <w:rStyle w:val="ui-provider"/>
        </w:rPr>
        <w:t>de cette nature</w:t>
      </w:r>
      <w:r w:rsidR="7B74A80E" w:rsidRPr="01F3D2E2">
        <w:rPr>
          <w:rStyle w:val="ui-provider"/>
        </w:rPr>
        <w:t xml:space="preserve"> </w:t>
      </w:r>
      <w:r w:rsidR="07E99F8C">
        <w:t xml:space="preserve">depuis </w:t>
      </w:r>
      <w:r w:rsidR="7B74A80E" w:rsidRPr="01F3D2E2">
        <w:rPr>
          <w:rStyle w:val="ui-provider"/>
        </w:rPr>
        <w:t xml:space="preserve">2018 </w:t>
      </w:r>
      <w:r w:rsidR="61FA169B" w:rsidRPr="01F3D2E2">
        <w:rPr>
          <w:rStyle w:val="ui-provider"/>
        </w:rPr>
        <w:t xml:space="preserve">avec la première </w:t>
      </w:r>
      <w:r w:rsidR="00ED75EC" w:rsidRPr="01F3D2E2">
        <w:rPr>
          <w:rStyle w:val="ui-provider"/>
        </w:rPr>
        <w:t>loi EGALIM</w:t>
      </w:r>
      <w:r w:rsidR="701FB7A1" w:rsidRPr="01F3D2E2">
        <w:rPr>
          <w:rStyle w:val="ui-provider"/>
        </w:rPr>
        <w:t>,</w:t>
      </w:r>
      <w:r w:rsidR="60FF955A" w:rsidRPr="01F3D2E2">
        <w:rPr>
          <w:rStyle w:val="ui-provider"/>
        </w:rPr>
        <w:t xml:space="preserve"> puis </w:t>
      </w:r>
      <w:r w:rsidR="5B4A3D5C" w:rsidRPr="01F3D2E2">
        <w:rPr>
          <w:rStyle w:val="ui-provider"/>
        </w:rPr>
        <w:t xml:space="preserve">2021 avec </w:t>
      </w:r>
      <w:r w:rsidR="60FF955A" w:rsidRPr="01F3D2E2">
        <w:rPr>
          <w:rStyle w:val="ui-provider"/>
        </w:rPr>
        <w:t>la loi climat et résilience</w:t>
      </w:r>
      <w:r w:rsidR="00ED75EC" w:rsidRPr="01F3D2E2">
        <w:rPr>
          <w:rStyle w:val="ui-provider"/>
        </w:rPr>
        <w:t xml:space="preserve">. </w:t>
      </w:r>
      <w:r w:rsidR="097D0311">
        <w:t>La totalité de ces dépenses sont donc codées de la thématique “CONSOALIM”, sans que nous n’ayons pu distinguer la partie “AB”, “SIQO”, ou “TRANSALIM”, auxquelles elles participent pourtant en réalité, d’un degré qui nous est inconnu.</w:t>
      </w:r>
    </w:p>
    <w:p w14:paraId="694C6E48" w14:textId="77777777" w:rsidR="00682114" w:rsidRDefault="00682114" w:rsidP="003C50D5"/>
    <w:p w14:paraId="7DEFA763" w14:textId="286AED20" w:rsidR="003C50D5" w:rsidRDefault="00811B8A" w:rsidP="006558B9">
      <w:pPr>
        <w:pStyle w:val="Titre3"/>
      </w:pPr>
      <w:bookmarkStart w:id="134" w:name="_Toc1193254457"/>
      <w:bookmarkStart w:id="135" w:name="_Toc177052118"/>
      <w:r>
        <w:t xml:space="preserve">Les écoles </w:t>
      </w:r>
      <w:r w:rsidR="005907F7">
        <w:t xml:space="preserve">maternelles, </w:t>
      </w:r>
      <w:r>
        <w:t>primaires, collèges et lycées</w:t>
      </w:r>
      <w:bookmarkEnd w:id="134"/>
      <w:bookmarkEnd w:id="135"/>
    </w:p>
    <w:p w14:paraId="713A27B0" w14:textId="6A32A00F" w:rsidR="6B89AD5D" w:rsidRDefault="6B89AD5D" w:rsidP="006558B9">
      <w:r>
        <w:lastRenderedPageBreak/>
        <w:t xml:space="preserve">A défaut d’une source budgétaire publique spécifiant les montants de dépenses des collectivités territoriales dédiées à la restauration </w:t>
      </w:r>
      <w:r w:rsidR="4B559D5C">
        <w:t>scolaire</w:t>
      </w:r>
      <w:r>
        <w:t xml:space="preserve">, </w:t>
      </w:r>
      <w:r w:rsidRPr="006558B9">
        <w:rPr>
          <w:b/>
          <w:bCs/>
        </w:rPr>
        <w:t>nous réalisons une extrapolation</w:t>
      </w:r>
      <w:r>
        <w:t xml:space="preserve">. </w:t>
      </w:r>
      <w:r w:rsidR="1B4521DB">
        <w:t>Celle-ci</w:t>
      </w:r>
      <w:r>
        <w:t xml:space="preserve"> consiste en la multiplic</w:t>
      </w:r>
      <w:r w:rsidR="0EFE460F">
        <w:t xml:space="preserve">ation d’un </w:t>
      </w:r>
      <w:r w:rsidR="4613A1D3">
        <w:t>montant moyen de contribution publique aux repas de la restauration scolaire</w:t>
      </w:r>
      <w:r w:rsidR="7C77691A">
        <w:t>, par un nombre de repas servis.</w:t>
      </w:r>
    </w:p>
    <w:p w14:paraId="05361C98" w14:textId="79F04725" w:rsidR="00E25FC6" w:rsidRDefault="008D1A79">
      <w:r>
        <w:rPr>
          <w:rStyle w:val="Appelnotedebasdep"/>
        </w:rPr>
        <w:footnoteReference w:id="23"/>
      </w:r>
      <w:r w:rsidR="45C62144">
        <w:t xml:space="preserve">Concernant le </w:t>
      </w:r>
      <w:r w:rsidR="45C62144" w:rsidRPr="006558B9">
        <w:rPr>
          <w:b/>
          <w:bCs/>
        </w:rPr>
        <w:t>montant moyen</w:t>
      </w:r>
      <w:r w:rsidR="45C62144">
        <w:t xml:space="preserve">, nous retenons une estimation d’une étude menée par l’ADEME </w:t>
      </w:r>
      <w:r>
        <w:t>et impliquant le BASIC et Citexia</w:t>
      </w:r>
      <w:r w:rsidR="42ED941F">
        <w:t xml:space="preserve">, </w:t>
      </w:r>
      <w:r w:rsidR="00B1B9B6">
        <w:t xml:space="preserve">correspondant à </w:t>
      </w:r>
      <w:r w:rsidR="00E07029">
        <w:t>5,33 € en 2018.</w:t>
      </w:r>
      <w:r w:rsidR="5057FB59">
        <w:t xml:space="preserve"> Pour les autres années, nous reprenons </w:t>
      </w:r>
      <w:r w:rsidR="00E25FC6">
        <w:t>ce</w:t>
      </w:r>
      <w:r w:rsidR="5057FB59">
        <w:t xml:space="preserve"> chiffre</w:t>
      </w:r>
      <w:r w:rsidR="00E25FC6">
        <w:t xml:space="preserve"> de 2018 et nous appliquons :</w:t>
      </w:r>
    </w:p>
    <w:p w14:paraId="05F01206" w14:textId="502F8C44" w:rsidR="00305BF0" w:rsidRDefault="00305BF0" w:rsidP="00305BF0">
      <w:r w:rsidRPr="00305BF0">
        <w:rPr>
          <w:b/>
          <w:bCs/>
        </w:rPr>
        <w:t>1/</w:t>
      </w:r>
      <w:r>
        <w:t xml:space="preserve"> L’évolution de la valeur du point d’indice des fonctionnaires pour la partie</w:t>
      </w:r>
      <w:r w:rsidR="0022164F" w:rsidRPr="0022164F">
        <w:t xml:space="preserve"> </w:t>
      </w:r>
      <w:r w:rsidR="0022164F">
        <w:t>correspondant aux frais de personnel (51%)</w:t>
      </w:r>
    </w:p>
    <w:p w14:paraId="498D3CB5" w14:textId="1CC84B8A" w:rsidR="00E25FC6" w:rsidRDefault="00305BF0">
      <w:r w:rsidRPr="00305BF0">
        <w:rPr>
          <w:b/>
          <w:bCs/>
        </w:rPr>
        <w:t>2</w:t>
      </w:r>
      <w:r w:rsidR="00E25FC6" w:rsidRPr="00305BF0">
        <w:rPr>
          <w:b/>
          <w:bCs/>
        </w:rPr>
        <w:t>/</w:t>
      </w:r>
      <w:r w:rsidR="00E25FC6">
        <w:t xml:space="preserve"> </w:t>
      </w:r>
      <w:r w:rsidR="0022164F">
        <w:t>L</w:t>
      </w:r>
      <w:r w:rsidR="00E25FC6">
        <w:t xml:space="preserve">’inflation </w:t>
      </w:r>
      <w:r w:rsidR="0022164F">
        <w:t xml:space="preserve">général </w:t>
      </w:r>
      <w:r w:rsidR="00E25FC6">
        <w:t>sur l</w:t>
      </w:r>
      <w:r w:rsidR="0022164F">
        <w:t xml:space="preserve">e reste de la subvention </w:t>
      </w:r>
      <w:r w:rsidR="00C1453C">
        <w:t>(achat des denrées, investissement, fonctionnement hors frais de personnel, soit 49%).</w:t>
      </w:r>
      <w:r w:rsidR="0022164F">
        <w:t xml:space="preserve"> </w:t>
      </w:r>
    </w:p>
    <w:p w14:paraId="3160FD2A" w14:textId="76EB2D97" w:rsidR="008D1A79" w:rsidRDefault="00C1453C">
      <w:r>
        <w:t>Pour chaque année on obtient ainsi un</w:t>
      </w:r>
      <w:r w:rsidR="0AD54207">
        <w:t xml:space="preserve"> montant moyen correspond</w:t>
      </w:r>
      <w:r>
        <w:t>ant</w:t>
      </w:r>
      <w:r w:rsidR="0AD54207">
        <w:t xml:space="preserve"> à la dépense publique brute en achats alimentaires et en frais de personnel de restauration, dont on soustrait les contributions des ménages à la cantine scolaire.</w:t>
      </w:r>
    </w:p>
    <w:p w14:paraId="27DDE73B" w14:textId="4E5AC187" w:rsidR="008D1A79" w:rsidRDefault="24A865AF">
      <w:r>
        <w:t xml:space="preserve">Concernant le </w:t>
      </w:r>
      <w:r w:rsidRPr="006558B9">
        <w:rPr>
          <w:b/>
          <w:bCs/>
        </w:rPr>
        <w:t>nombre de repas</w:t>
      </w:r>
      <w:r>
        <w:t>, nous partons du nombre total</w:t>
      </w:r>
      <w:r w:rsidR="0D30006B">
        <w:t xml:space="preserve"> (privé et public)</w:t>
      </w:r>
      <w:r>
        <w:t xml:space="preserve"> d’élèves par niveau (premier degré, collège et lycée)</w:t>
      </w:r>
      <w:r w:rsidR="4881124E">
        <w:t xml:space="preserve"> </w:t>
      </w:r>
      <w:r>
        <w:t>et du nombre d’agents de l’éducation nationale enseignant à des él</w:t>
      </w:r>
      <w:r w:rsidR="1CF0E182">
        <w:t xml:space="preserve">èves du premier et second degré </w:t>
      </w:r>
      <w:r w:rsidR="37681310">
        <w:t xml:space="preserve">en </w:t>
      </w:r>
      <w:r w:rsidR="18838B54">
        <w:t>2022</w:t>
      </w:r>
      <w:r w:rsidR="37681310">
        <w:t>.</w:t>
      </w:r>
      <w:r w:rsidR="185F14F2">
        <w:t xml:space="preserve"> Nous </w:t>
      </w:r>
      <w:r w:rsidR="18838B54">
        <w:t xml:space="preserve">en retirons </w:t>
      </w:r>
      <w:r w:rsidR="185F14F2">
        <w:t>les élèves et enseignants du privé, sur la base du chiffre de 2 00</w:t>
      </w:r>
      <w:r w:rsidR="593388AD">
        <w:t>0 000 d’élèves dans le privé au total</w:t>
      </w:r>
      <w:r w:rsidR="2C9A9D86">
        <w:t xml:space="preserve"> en </w:t>
      </w:r>
      <w:hyperlink r:id="rId30" w:history="1">
        <w:r w:rsidR="2C9A9D86" w:rsidRPr="01F3D2E2">
          <w:rPr>
            <w:rStyle w:val="Lienhypertexte"/>
          </w:rPr>
          <w:t>2022</w:t>
        </w:r>
      </w:hyperlink>
      <w:r w:rsidR="2C9A9D86">
        <w:t>, en faisant l’hypothèse que la répartition par niveau, et que le nombre d’élèves par enseignant est le même dans le privé qu’au total. Nous faisons également l’hypothèse que ces chiffres restent stables sur toute la période 2018-2022. Nous multiplions le nombre total d’é</w:t>
      </w:r>
      <w:r w:rsidR="1E48A992">
        <w:t xml:space="preserve">lèves </w:t>
      </w:r>
      <w:r w:rsidR="1B049C84">
        <w:t xml:space="preserve">par le nombre de jour de classe annuel, c’est à dire 182. Tous les élèves ne consomment cependant pas l’intégralité de leur repas du midi à la cantine scolaire. </w:t>
      </w:r>
      <w:r w:rsidR="71D3255F">
        <w:t xml:space="preserve">Sur la base de </w:t>
      </w:r>
      <w:r w:rsidR="007AD9AE">
        <w:t xml:space="preserve">données fournies sur le site du ministère de l’Agriculture en </w:t>
      </w:r>
      <w:hyperlink r:id="rId31" w:history="1">
        <w:r w:rsidR="007AD9AE" w:rsidRPr="01F3D2E2">
          <w:rPr>
            <w:rStyle w:val="Lienhypertexte"/>
          </w:rPr>
          <w:t>2021</w:t>
        </w:r>
      </w:hyperlink>
      <w:r w:rsidR="007AD9AE">
        <w:t xml:space="preserve"> </w:t>
      </w:r>
      <w:r w:rsidR="0B030E74">
        <w:t>ainsi qu’à dires d’expert, nous retenons le taux de 60 % des repas pris à la cantine au collèg</w:t>
      </w:r>
      <w:r w:rsidR="04CA93C1">
        <w:t>e, et retenons un pour</w:t>
      </w:r>
      <w:r w:rsidR="6E90E114">
        <w:t xml:space="preserve">centage légèrement supérieur au 1e degré (66%) et inférieur au lycée (43%), de sorte à la fois à correspondre au total de 1 170 millions de </w:t>
      </w:r>
      <w:r w:rsidR="543F3555">
        <w:t xml:space="preserve">repas servis dans le public </w:t>
      </w:r>
      <w:r w:rsidR="543F3555" w:rsidRPr="006558B9">
        <w:t xml:space="preserve">(d’après le </w:t>
      </w:r>
      <w:r w:rsidR="006558B9" w:rsidRPr="006558B9">
        <w:t xml:space="preserve">rapport n°198 du CEP de </w:t>
      </w:r>
      <w:hyperlink r:id="rId32" w:history="1">
        <w:r w:rsidR="006558B9" w:rsidRPr="006558B9">
          <w:rPr>
            <w:rStyle w:val="Lienhypertexte"/>
          </w:rPr>
          <w:t>2023</w:t>
        </w:r>
      </w:hyperlink>
      <w:r w:rsidR="543F3555" w:rsidRPr="006558B9">
        <w:t>)</w:t>
      </w:r>
      <w:r w:rsidR="23013300" w:rsidRPr="006558B9">
        <w:t>.</w:t>
      </w:r>
    </w:p>
    <w:p w14:paraId="4949862D" w14:textId="77777777" w:rsidR="000A6E34" w:rsidRDefault="289944FA" w:rsidP="003C50D5">
      <w:r w:rsidRPr="3761819D">
        <w:rPr>
          <w:b/>
          <w:bCs/>
        </w:rPr>
        <w:t>L</w:t>
      </w:r>
      <w:r w:rsidR="006E6957" w:rsidRPr="3761819D">
        <w:rPr>
          <w:b/>
          <w:bCs/>
        </w:rPr>
        <w:t>es éventuels soutiens à la</w:t>
      </w:r>
      <w:r w:rsidR="007169B8" w:rsidRPr="3761819D">
        <w:rPr>
          <w:b/>
          <w:bCs/>
        </w:rPr>
        <w:t xml:space="preserve"> restauration scolaire privée</w:t>
      </w:r>
      <w:r w:rsidR="2E8DE46D" w:rsidRPr="3761819D">
        <w:rPr>
          <w:b/>
          <w:bCs/>
        </w:rPr>
        <w:t xml:space="preserve"> </w:t>
      </w:r>
      <w:r w:rsidR="7B3D9991" w:rsidRPr="3761819D">
        <w:rPr>
          <w:b/>
          <w:bCs/>
        </w:rPr>
        <w:t xml:space="preserve">ne sont </w:t>
      </w:r>
      <w:r w:rsidR="2E8DE46D" w:rsidRPr="3761819D">
        <w:rPr>
          <w:b/>
          <w:bCs/>
        </w:rPr>
        <w:t>pas pris en compte</w:t>
      </w:r>
      <w:r w:rsidR="55A87F40" w:rsidRPr="3761819D">
        <w:rPr>
          <w:b/>
          <w:bCs/>
        </w:rPr>
        <w:t xml:space="preserve">. </w:t>
      </w:r>
      <w:r w:rsidR="55A87F40" w:rsidRPr="006558B9">
        <w:t xml:space="preserve">En </w:t>
      </w:r>
      <w:r w:rsidR="55A87F40">
        <w:t xml:space="preserve">effet, selon les experts que nous avons interrogés, </w:t>
      </w:r>
      <w:r w:rsidR="750EC42D">
        <w:t xml:space="preserve">la </w:t>
      </w:r>
      <w:r w:rsidR="1FA1FEC8" w:rsidRPr="006558B9">
        <w:t>part</w:t>
      </w:r>
      <w:r w:rsidR="750EC42D">
        <w:t xml:space="preserve"> spécifique à la restauration s</w:t>
      </w:r>
      <w:r w:rsidR="7DB833B9">
        <w:t>cola</w:t>
      </w:r>
      <w:r w:rsidR="750EC42D">
        <w:t xml:space="preserve">ire </w:t>
      </w:r>
      <w:r w:rsidR="7BA9D66F" w:rsidRPr="006558B9">
        <w:t>dans le total des</w:t>
      </w:r>
      <w:r w:rsidR="7BA9D66F" w:rsidRPr="3761819D">
        <w:rPr>
          <w:b/>
          <w:bCs/>
        </w:rPr>
        <w:t xml:space="preserve"> </w:t>
      </w:r>
      <w:r w:rsidR="750EC42D">
        <w:t>subventions publiques à l’enseignement</w:t>
      </w:r>
      <w:r w:rsidR="58253842">
        <w:t xml:space="preserve"> privé fait déba</w:t>
      </w:r>
      <w:r w:rsidR="1AA6D129">
        <w:t>t</w:t>
      </w:r>
      <w:r w:rsidR="7784CA8A">
        <w:t>, de même que la contribution respective des collectivités territoriales et de l’</w:t>
      </w:r>
      <w:r w:rsidR="00594801">
        <w:t>État</w:t>
      </w:r>
      <w:r w:rsidR="7784CA8A">
        <w:t xml:space="preserve"> à ces soutiens spécifiques à la restauration</w:t>
      </w:r>
      <w:r w:rsidR="1AA6D129">
        <w:t xml:space="preserve">. A défaut d’informations claires sur le sujet, nous ne les incluons pas à notre périmètre. Il </w:t>
      </w:r>
      <w:r w:rsidR="6C67F134" w:rsidRPr="006558B9">
        <w:t xml:space="preserve">pourrait </w:t>
      </w:r>
      <w:r w:rsidR="1AA6D129">
        <w:t>cependant s’agir de montants non négligeables, car d’après le</w:t>
      </w:r>
      <w:r w:rsidR="6AFCE00E">
        <w:t xml:space="preserve"> rapport d’information</w:t>
      </w:r>
      <w:r w:rsidR="006558B9">
        <w:t xml:space="preserve"> n°2423</w:t>
      </w:r>
      <w:r w:rsidR="6AFCE00E">
        <w:t xml:space="preserve"> de l’Assemblée nationale </w:t>
      </w:r>
      <w:r w:rsidR="6AFCE00E" w:rsidRPr="006558B9">
        <w:t>de</w:t>
      </w:r>
      <w:r w:rsidR="1AA6D129">
        <w:t xml:space="preserve"> </w:t>
      </w:r>
      <w:hyperlink r:id="rId33" w:history="1">
        <w:r w:rsidR="006558B9" w:rsidRPr="006558B9">
          <w:rPr>
            <w:rStyle w:val="Lienhypertexte"/>
          </w:rPr>
          <w:t>2024</w:t>
        </w:r>
      </w:hyperlink>
      <w:r w:rsidR="58874E89">
        <w:t xml:space="preserve">, l’enseignement privé serait financé </w:t>
      </w:r>
      <w:r w:rsidR="58874E89" w:rsidRPr="006558B9">
        <w:t>à</w:t>
      </w:r>
      <w:r w:rsidR="58874E89" w:rsidRPr="3761819D">
        <w:rPr>
          <w:b/>
          <w:bCs/>
        </w:rPr>
        <w:t xml:space="preserve"> </w:t>
      </w:r>
      <w:r w:rsidR="2F4324EA">
        <w:t>75 % par les subventions publiques.</w:t>
      </w:r>
      <w:r w:rsidR="7A0292F9">
        <w:t xml:space="preserve"> En faisant les mêmes hypothèses de fréquentation et de contribution moyenne aux repas dans le privé que dans le p</w:t>
      </w:r>
      <w:r w:rsidR="15462A18">
        <w:t xml:space="preserve">ublic, </w:t>
      </w:r>
      <w:r w:rsidR="2CFB61E0">
        <w:t>et en appliquant cette part de contribution publique de 75%, on obtiendrait environ 1 milliard d’euros. Les hypothèses faites ci-dessus sont cependant des hypothèses forte</w:t>
      </w:r>
      <w:r w:rsidR="00DD7BFE">
        <w:t>s</w:t>
      </w:r>
      <w:r w:rsidR="2CFB61E0">
        <w:t xml:space="preserve"> (notamment </w:t>
      </w:r>
      <w:r w:rsidR="1A860328">
        <w:t>celle</w:t>
      </w:r>
      <w:r w:rsidR="2CFB61E0">
        <w:t xml:space="preserve"> concernant le montant moyen).</w:t>
      </w:r>
      <w:r w:rsidR="00006B27">
        <w:t xml:space="preserve"> </w:t>
      </w:r>
    </w:p>
    <w:p w14:paraId="3C8BACEC" w14:textId="651924D2" w:rsidR="001C620B" w:rsidRDefault="001C620B" w:rsidP="01F3D2E2"/>
    <w:p w14:paraId="77DCC967" w14:textId="16B72C18" w:rsidR="00DA5B38" w:rsidRDefault="00811B8A" w:rsidP="006558B9">
      <w:pPr>
        <w:pStyle w:val="Titre3"/>
      </w:pPr>
      <w:bookmarkStart w:id="136" w:name="_Toc19765936"/>
      <w:bookmarkStart w:id="137" w:name="_Toc177052119"/>
      <w:r>
        <w:t>EH</w:t>
      </w:r>
      <w:r w:rsidR="00D55E60">
        <w:t>P</w:t>
      </w:r>
      <w:r>
        <w:t>AD</w:t>
      </w:r>
      <w:r w:rsidR="00D55E60">
        <w:t xml:space="preserve"> (Établissement d'</w:t>
      </w:r>
      <w:r w:rsidR="004C6BD8">
        <w:t>H</w:t>
      </w:r>
      <w:r w:rsidR="00D55E60">
        <w:t xml:space="preserve">ébergement pour </w:t>
      </w:r>
      <w:r w:rsidR="004C6BD8">
        <w:t>P</w:t>
      </w:r>
      <w:r w:rsidR="00D55E60">
        <w:t xml:space="preserve">ersonnes </w:t>
      </w:r>
      <w:r w:rsidR="004C6BD8">
        <w:t>A</w:t>
      </w:r>
      <w:r w:rsidR="00D55E60">
        <w:t xml:space="preserve">gées </w:t>
      </w:r>
      <w:r w:rsidR="004C6BD8">
        <w:t>D</w:t>
      </w:r>
      <w:r w:rsidR="00D55E60">
        <w:t>épendantes)</w:t>
      </w:r>
      <w:bookmarkEnd w:id="136"/>
      <w:bookmarkEnd w:id="137"/>
    </w:p>
    <w:p w14:paraId="01834E4B" w14:textId="024DA4C2" w:rsidR="172C33BB" w:rsidRDefault="172C33BB">
      <w:r>
        <w:t xml:space="preserve">Toujours en l’absence de documents budgétaires </w:t>
      </w:r>
      <w:r w:rsidR="5296B12D">
        <w:t>identifiant la contribution des collectivités à la restauration collective des EHPAD</w:t>
      </w:r>
      <w:r>
        <w:t>, nous réalisons à nouveau une extrapolation, en multipliant un montant moyen par un nombre de repas.</w:t>
      </w:r>
    </w:p>
    <w:p w14:paraId="1B6551C4" w14:textId="2273F891" w:rsidR="172C33BB" w:rsidRPr="00044321" w:rsidRDefault="172C33BB">
      <w:r w:rsidRPr="00044321">
        <w:lastRenderedPageBreak/>
        <w:t xml:space="preserve">Concernant le </w:t>
      </w:r>
      <w:r w:rsidRPr="00044321">
        <w:rPr>
          <w:b/>
          <w:bCs/>
        </w:rPr>
        <w:t>montant moyen</w:t>
      </w:r>
      <w:r w:rsidRPr="00044321">
        <w:t>, nous faisons fait l’hypothèse que la partie prise en charge par les collectivités est la même pour les écoles et pour les E</w:t>
      </w:r>
      <w:r w:rsidR="0038189E" w:rsidRPr="00044321">
        <w:t>H</w:t>
      </w:r>
      <w:r w:rsidRPr="00044321">
        <w:t xml:space="preserve">PAD </w:t>
      </w:r>
      <w:r w:rsidR="35238B85" w:rsidRPr="00044321">
        <w:t>(</w:t>
      </w:r>
      <w:r w:rsidRPr="00044321">
        <w:t>5,33 € par repas</w:t>
      </w:r>
      <w:r w:rsidR="437EB446" w:rsidRPr="00044321">
        <w:t>) à défaut d’une source spécifique</w:t>
      </w:r>
      <w:r w:rsidR="00EE056D" w:rsidRPr="00044321">
        <w:t>.</w:t>
      </w:r>
    </w:p>
    <w:p w14:paraId="2443A955" w14:textId="3D8972AC" w:rsidR="001A3904" w:rsidRDefault="172C33BB">
      <w:r>
        <w:t xml:space="preserve">Concernant le </w:t>
      </w:r>
      <w:r w:rsidRPr="006558B9">
        <w:rPr>
          <w:b/>
          <w:bCs/>
        </w:rPr>
        <w:t>nombre de repas</w:t>
      </w:r>
      <w:r>
        <w:t xml:space="preserve">, nous retenons </w:t>
      </w:r>
      <w:r w:rsidR="001A3904">
        <w:t>le nombre de résident</w:t>
      </w:r>
      <w:r w:rsidR="00510060">
        <w:t>.e</w:t>
      </w:r>
      <w:r w:rsidR="001A3904">
        <w:t>s en E</w:t>
      </w:r>
      <w:r w:rsidR="00A81520">
        <w:t>H</w:t>
      </w:r>
      <w:r w:rsidR="001A3904">
        <w:t xml:space="preserve">PAD public, </w:t>
      </w:r>
      <w:r w:rsidR="00510060">
        <w:t xml:space="preserve">ainsi que </w:t>
      </w:r>
      <w:r w:rsidR="00BC2098">
        <w:t>celui d</w:t>
      </w:r>
      <w:r w:rsidR="001A3904">
        <w:t>es encadrant</w:t>
      </w:r>
      <w:r w:rsidR="00A81520">
        <w:t>.e</w:t>
      </w:r>
      <w:r w:rsidR="001A3904">
        <w:t>s (en prenant en compte un taux d’encadrement moyen)</w:t>
      </w:r>
      <w:r w:rsidR="709C4211">
        <w:t xml:space="preserve">, </w:t>
      </w:r>
      <w:r w:rsidR="709C4211" w:rsidRPr="00884B29">
        <w:t xml:space="preserve">et comptons </w:t>
      </w:r>
      <w:r w:rsidR="00EF6A6D" w:rsidRPr="00884B29">
        <w:t>2,5</w:t>
      </w:r>
      <w:r w:rsidR="0DAE5DD4" w:rsidRPr="00884B29">
        <w:t xml:space="preserve"> repas</w:t>
      </w:r>
      <w:r w:rsidR="008A19E3" w:rsidRPr="00884B29">
        <w:t xml:space="preserve"> par jour</w:t>
      </w:r>
      <w:r w:rsidR="0DAE5DD4" w:rsidRPr="00884B29">
        <w:t xml:space="preserve"> pour les résident</w:t>
      </w:r>
      <w:r w:rsidR="00A81520" w:rsidRPr="00884B29">
        <w:t>.e</w:t>
      </w:r>
      <w:r w:rsidR="0DAE5DD4" w:rsidRPr="00884B29">
        <w:t>s</w:t>
      </w:r>
      <w:r w:rsidR="00EF6A6D" w:rsidRPr="00884B29">
        <w:rPr>
          <w:rStyle w:val="Appelnotedebasdep"/>
        </w:rPr>
        <w:footnoteReference w:id="24"/>
      </w:r>
      <w:r w:rsidR="0DAE5DD4" w:rsidRPr="00884B29">
        <w:t xml:space="preserve"> et 1 repas </w:t>
      </w:r>
      <w:r w:rsidR="008A19E3" w:rsidRPr="00884B29">
        <w:t xml:space="preserve">par jour </w:t>
      </w:r>
      <w:r w:rsidR="0DAE5DD4" w:rsidRPr="00884B29">
        <w:t>pour les encadrant</w:t>
      </w:r>
      <w:r w:rsidR="00A81520" w:rsidRPr="00884B29">
        <w:t>.e</w:t>
      </w:r>
      <w:r w:rsidR="0DAE5DD4" w:rsidRPr="00884B29">
        <w:t>s</w:t>
      </w:r>
      <w:r w:rsidR="0DAE5DD4">
        <w:t xml:space="preserve">. </w:t>
      </w:r>
      <w:r w:rsidR="0AA534EB">
        <w:t>Enfin, nous faisons l’hypothèse que dans le privé, l’ensemble du coût est pris en charge par les résidents</w:t>
      </w:r>
      <w:r w:rsidR="0000187C">
        <w:t>, faute d’information (</w:t>
      </w:r>
      <w:r w:rsidR="005216A8">
        <w:t>pareillement à la restauration scolaire).</w:t>
      </w:r>
    </w:p>
    <w:p w14:paraId="5217E1B1" w14:textId="557A2CD5" w:rsidR="00CA104A" w:rsidRDefault="00CA104A">
      <w:r>
        <w:t>Ce nombre est multiplié par 365 pour obtenir le montant total sur l’année.</w:t>
      </w:r>
      <w:r w:rsidR="00DC4CD0">
        <w:t xml:space="preserve"> Ce calcul mêle des chiffres d’années différentes mais </w:t>
      </w:r>
      <w:r w:rsidR="002D4720">
        <w:t>la donnée la plus déterminante étant celle de la prise en charge par repas, qui date de 2018</w:t>
      </w:r>
      <w:r w:rsidR="00530A6E">
        <w:t>, nous considérons que le nombre obtenu correspond à l’année 2018. Pour les autres années, nous utilisons l’inflation</w:t>
      </w:r>
      <w:r w:rsidR="0046474F">
        <w:t xml:space="preserve"> pour extrapoler.</w:t>
      </w:r>
    </w:p>
    <w:p w14:paraId="2487EB8F" w14:textId="77777777" w:rsidR="00EC1CC5" w:rsidRDefault="00EC1CC5"/>
    <w:p w14:paraId="358A2B70" w14:textId="2109FAAA" w:rsidR="00EC1CC5" w:rsidRPr="00312243" w:rsidRDefault="00E54277" w:rsidP="00EC1CC5">
      <w:pPr>
        <w:pStyle w:val="Titre3"/>
      </w:pPr>
      <w:bookmarkStart w:id="138" w:name="_Toc177052120"/>
      <w:r w:rsidRPr="00312243">
        <w:t>Approximation par l’inflation</w:t>
      </w:r>
      <w:bookmarkEnd w:id="138"/>
    </w:p>
    <w:p w14:paraId="64E198C8" w14:textId="01928624" w:rsidR="00EC1CC5" w:rsidRDefault="00B537AE">
      <w:r>
        <w:t xml:space="preserve">Les dépenses publiques de restauration collective </w:t>
      </w:r>
      <w:r w:rsidR="00715EC1">
        <w:t>des collectivités (</w:t>
      </w:r>
      <w:r>
        <w:t>scolaire et EHPAD</w:t>
      </w:r>
      <w:r w:rsidR="00715EC1">
        <w:t>)</w:t>
      </w:r>
      <w:r>
        <w:t xml:space="preserve"> sont ainsi</w:t>
      </w:r>
      <w:r w:rsidR="00715EC1">
        <w:t xml:space="preserve"> calculées pour l’année 2018. </w:t>
      </w:r>
      <w:r w:rsidR="00952365">
        <w:t>P</w:t>
      </w:r>
      <w:r w:rsidR="004E48FA">
        <w:t xml:space="preserve">our prolonger ces estimations sur toute la période, </w:t>
      </w:r>
      <w:r w:rsidR="00952365">
        <w:t>nous appliquons à ces données l’inflation générale pour la partie de frais de fonctionnement hors personnel et investissements, l’inflation alimentaire à la partie d’approvisionnement en denrées, et l’indice du point des fonctionnaires</w:t>
      </w:r>
      <w:r w:rsidR="00CF1852">
        <w:rPr>
          <w:rStyle w:val="Appelnotedebasdep"/>
        </w:rPr>
        <w:footnoteReference w:id="25"/>
      </w:r>
      <w:r w:rsidR="00952365">
        <w:t xml:space="preserve"> pour la partie de frais de personnel. Ces différentes parts (frais de personnel, denrées, fonctionnement hors personnel, etc.) sont reprises du rapport de</w:t>
      </w:r>
      <w:r w:rsidR="00CF1852" w:rsidRPr="00CF1852">
        <w:t xml:space="preserve"> </w:t>
      </w:r>
      <w:r w:rsidR="00CF1852">
        <w:t>l’ADEME et impliquant le BASIC et Citexia</w:t>
      </w:r>
      <w:r w:rsidR="00CF1852">
        <w:rPr>
          <w:rStyle w:val="Appelnotedebasdep"/>
        </w:rPr>
        <w:footnoteReference w:id="26"/>
      </w:r>
      <w:r w:rsidR="00CF1852">
        <w:t>.</w:t>
      </w:r>
    </w:p>
    <w:p w14:paraId="2B99D229" w14:textId="3979B3B5" w:rsidR="55340F9C" w:rsidRDefault="55340F9C" w:rsidP="001B6CA9">
      <w:pPr>
        <w:pStyle w:val="Titre2"/>
      </w:pPr>
      <w:bookmarkStart w:id="139" w:name="_Toc177052121"/>
      <w:r>
        <w:t>Aide alimentaire</w:t>
      </w:r>
      <w:bookmarkEnd w:id="139"/>
    </w:p>
    <w:p w14:paraId="691A65D7" w14:textId="3FD08DA4" w:rsidR="00A90A59" w:rsidRPr="00FB1316" w:rsidRDefault="00A90A59" w:rsidP="00A90A59">
      <w:r>
        <w:t xml:space="preserve">Parmi les collectivités locales, les communes et intercommunalités assument, à travers les centres communaux et intercommunaux d’action sociale, un effort important qui peut être estimé, a minima, entre 200 M€ et 260 M€ par an, plus ou moins structurant, selon qu’il prend la forme d’une gestion directe d’épiceries et de restaurants à </w:t>
      </w:r>
      <w:r w:rsidRPr="00FB1316">
        <w:t>caractère social, d’aides financières ou en nature aux associations, d’aides en espèces ou de bons alimentaires aux personnes en difficulté</w:t>
      </w:r>
      <w:r w:rsidRPr="00FB1316">
        <w:rPr>
          <w:rStyle w:val="Appelnotedebasdep"/>
        </w:rPr>
        <w:footnoteReference w:id="27"/>
      </w:r>
      <w:r w:rsidRPr="00FB1316">
        <w:t>.</w:t>
      </w:r>
    </w:p>
    <w:p w14:paraId="2AFEB773" w14:textId="2CC64498" w:rsidR="00FB1316" w:rsidRDefault="004608B7">
      <w:r w:rsidRPr="006558B9">
        <w:t>Nous choisissons l</w:t>
      </w:r>
      <w:r w:rsidR="00232094" w:rsidRPr="006558B9">
        <w:t>a</w:t>
      </w:r>
      <w:r w:rsidR="00FB1316">
        <w:t xml:space="preserve"> </w:t>
      </w:r>
      <w:r w:rsidR="00232094" w:rsidRPr="006558B9">
        <w:t>dépense la plus conservatrice de 200 millions € pour 2018</w:t>
      </w:r>
      <w:r w:rsidR="00FB1316" w:rsidRPr="006558B9">
        <w:t>, correspondant à l’aide alimentaire des collectivités territoriales. Nous utilisons l’inflation pour extrapoler sur les années ultérieures.</w:t>
      </w:r>
    </w:p>
    <w:p w14:paraId="4FC544E4" w14:textId="1FAC67ED" w:rsidR="6E0F97CC" w:rsidRDefault="413CC8A0" w:rsidP="001B6CA9">
      <w:pPr>
        <w:pStyle w:val="Titre2"/>
      </w:pPr>
      <w:bookmarkStart w:id="140" w:name="_Toc177052122"/>
      <w:r>
        <w:t>Données manquantes et limites</w:t>
      </w:r>
      <w:bookmarkEnd w:id="140"/>
    </w:p>
    <w:p w14:paraId="6CD8C3A7" w14:textId="049DFFF0" w:rsidR="7F2F2A72" w:rsidRDefault="12EE2D09" w:rsidP="0D67A0E9">
      <w:pPr>
        <w:rPr>
          <w:highlight w:val="yellow"/>
        </w:rPr>
      </w:pPr>
      <w:r w:rsidRPr="006558B9">
        <w:t>Nous identifions p</w:t>
      </w:r>
      <w:r w:rsidR="122C7C35" w:rsidRPr="006558B9">
        <w:t xml:space="preserve">lusieurs limites : </w:t>
      </w:r>
    </w:p>
    <w:p w14:paraId="31AD931B" w14:textId="77777777" w:rsidR="006558B9" w:rsidRDefault="0B2FA6B2">
      <w:pPr>
        <w:pStyle w:val="Paragraphedeliste"/>
        <w:numPr>
          <w:ilvl w:val="0"/>
          <w:numId w:val="35"/>
        </w:numPr>
      </w:pPr>
      <w:r>
        <w:t>Concernant les “aides à l’agriculture et aux industries agro-alimentaires", il s’agit principalement d’un manque de granularité de la donnée, rendant impossible un</w:t>
      </w:r>
      <w:r w:rsidR="07982D2F">
        <w:t xml:space="preserve"> codage par thématique (codé “MIXTE” à défaut) et par bénéficiaire (codé “TRANSVERSE &gt; INSTPRIV” à défaut). Ce manque de granularité semble indépassable</w:t>
      </w:r>
      <w:r w:rsidR="7109C7AB">
        <w:t>, compte tenu des données existantes.</w:t>
      </w:r>
    </w:p>
    <w:p w14:paraId="16F2354A" w14:textId="77777777" w:rsidR="006558B9" w:rsidRDefault="7109C7AB">
      <w:pPr>
        <w:pStyle w:val="Paragraphedeliste"/>
        <w:numPr>
          <w:ilvl w:val="0"/>
          <w:numId w:val="35"/>
        </w:numPr>
      </w:pPr>
      <w:r>
        <w:lastRenderedPageBreak/>
        <w:t xml:space="preserve">Concernant les dépenses de restauration collective, la limite principale consiste en une grande sensibilité de montants </w:t>
      </w:r>
      <w:r w:rsidR="3DAC0B16">
        <w:t xml:space="preserve">obtenus au montant moyen retenu d’une part, et aux </w:t>
      </w:r>
      <w:r w:rsidR="006558B9">
        <w:t>nombres</w:t>
      </w:r>
      <w:r w:rsidR="3DAC0B16">
        <w:t xml:space="preserve"> de repas retenus d’autre part. </w:t>
      </w:r>
      <w:r w:rsidR="687E1634">
        <w:t xml:space="preserve">Le montant retenu en particulier est le même pour tous les niveaux scolaires, ainsi que pour les EHPAD, </w:t>
      </w:r>
      <w:r w:rsidR="53819DB4">
        <w:t>or</w:t>
      </w:r>
      <w:r w:rsidR="00F42C9F">
        <w:t xml:space="preserve"> il est probable que </w:t>
      </w:r>
      <w:r w:rsidR="6B43FF29">
        <w:t xml:space="preserve">le montant </w:t>
      </w:r>
      <w:r w:rsidR="00F42C9F">
        <w:t xml:space="preserve">en charge varie selon de nombreux critères (géographiques, </w:t>
      </w:r>
      <w:r w:rsidR="00D9036F">
        <w:t>niveau d’enseignement</w:t>
      </w:r>
      <w:r w:rsidR="00721C7F">
        <w:t>, etc).</w:t>
      </w:r>
    </w:p>
    <w:p w14:paraId="1615273F" w14:textId="61C2EC9B" w:rsidR="002106ED" w:rsidRDefault="00882993">
      <w:pPr>
        <w:pStyle w:val="Paragraphedeliste"/>
        <w:numPr>
          <w:ilvl w:val="0"/>
          <w:numId w:val="35"/>
        </w:numPr>
      </w:pPr>
      <w:r>
        <w:t>L</w:t>
      </w:r>
      <w:r w:rsidR="00B06861">
        <w:t>a donnée de l</w:t>
      </w:r>
      <w:r>
        <w:t>’a</w:t>
      </w:r>
      <w:r w:rsidR="002106ED">
        <w:t xml:space="preserve">ide alimentaire </w:t>
      </w:r>
      <w:r>
        <w:t xml:space="preserve">en provenance des collectivités territoriales </w:t>
      </w:r>
      <w:r w:rsidR="007C0447">
        <w:t>est une fourchette</w:t>
      </w:r>
      <w:r w:rsidR="00B42B79">
        <w:t xml:space="preserve"> annuelle</w:t>
      </w:r>
      <w:r w:rsidR="007C0447">
        <w:t xml:space="preserve"> provenant d’un rapport de l’IGAS</w:t>
      </w:r>
      <w:r w:rsidR="00B42B79">
        <w:t xml:space="preserve">, ce </w:t>
      </w:r>
      <w:r w:rsidR="006425E4">
        <w:t xml:space="preserve">qui n’est pas idéal car </w:t>
      </w:r>
      <w:r w:rsidR="00604616">
        <w:t>peu précis</w:t>
      </w:r>
      <w:r w:rsidR="005E1F9C">
        <w:t>.</w:t>
      </w:r>
    </w:p>
    <w:p w14:paraId="5C3AAE27" w14:textId="071C75BE" w:rsidR="00A97403" w:rsidRDefault="00A97403">
      <w:pPr>
        <w:pStyle w:val="Paragraphedeliste"/>
        <w:numPr>
          <w:ilvl w:val="0"/>
          <w:numId w:val="35"/>
        </w:numPr>
      </w:pPr>
      <w:r w:rsidRPr="003215BA">
        <w:t xml:space="preserve">En 2020, </w:t>
      </w:r>
      <w:r w:rsidR="003215BA" w:rsidRPr="003215BA">
        <w:t xml:space="preserve">une baisse de fréquentation d’environ 1/3 </w:t>
      </w:r>
      <w:r w:rsidRPr="003215BA">
        <w:t xml:space="preserve">environ </w:t>
      </w:r>
      <w:r w:rsidR="003215BA" w:rsidRPr="003215BA">
        <w:t xml:space="preserve">a été observé, dû à la </w:t>
      </w:r>
      <w:r w:rsidR="00DC15B9">
        <w:t>COVID</w:t>
      </w:r>
      <w:r w:rsidRPr="003215BA">
        <w:t xml:space="preserve"> (moins</w:t>
      </w:r>
      <w:r>
        <w:t xml:space="preserve"> de repas servis)</w:t>
      </w:r>
      <w:r w:rsidR="003215BA">
        <w:t>, mais ce n’est pas le cas pour les années ultérieures</w:t>
      </w:r>
      <w:r w:rsidR="00325316">
        <w:rPr>
          <w:rStyle w:val="Appelnotedebasdep"/>
        </w:rPr>
        <w:footnoteReference w:id="28"/>
      </w:r>
      <w:r w:rsidR="003215BA">
        <w:t>.</w:t>
      </w:r>
    </w:p>
    <w:p w14:paraId="7A47D2FD" w14:textId="02D1538F" w:rsidR="00325316" w:rsidRPr="00C82958" w:rsidRDefault="00325316" w:rsidP="00325316">
      <w:pPr>
        <w:pStyle w:val="Paragraphedeliste"/>
        <w:numPr>
          <w:ilvl w:val="0"/>
          <w:numId w:val="35"/>
        </w:numPr>
        <w:spacing w:line="276" w:lineRule="auto"/>
        <w:rPr>
          <w:rStyle w:val="ui-provider"/>
        </w:rPr>
      </w:pPr>
      <w:r w:rsidRPr="00C82958">
        <w:rPr>
          <w:rStyle w:val="ui-provider"/>
        </w:rPr>
        <w:t xml:space="preserve">Ajouter les </w:t>
      </w:r>
      <w:r w:rsidR="00C82958">
        <w:rPr>
          <w:rStyle w:val="ui-provider"/>
        </w:rPr>
        <w:t>dépenses publiques de restauration collective</w:t>
      </w:r>
      <w:r w:rsidRPr="00C82958">
        <w:rPr>
          <w:rStyle w:val="ui-provider"/>
        </w:rPr>
        <w:t xml:space="preserve"> </w:t>
      </w:r>
      <w:r w:rsidR="00C82958">
        <w:rPr>
          <w:rStyle w:val="ui-provider"/>
        </w:rPr>
        <w:t>d</w:t>
      </w:r>
      <w:r w:rsidRPr="00C82958">
        <w:rPr>
          <w:rStyle w:val="ui-provider"/>
        </w:rPr>
        <w:t>es crèches</w:t>
      </w:r>
      <w:r w:rsidR="00C82958">
        <w:rPr>
          <w:rStyle w:val="ui-provider"/>
        </w:rPr>
        <w:t xml:space="preserve"> et </w:t>
      </w:r>
      <w:r w:rsidRPr="00C82958">
        <w:rPr>
          <w:rStyle w:val="ui-provider"/>
        </w:rPr>
        <w:t>administrations publiques</w:t>
      </w:r>
      <w:r w:rsidR="00C82958">
        <w:rPr>
          <w:rStyle w:val="ui-provider"/>
        </w:rPr>
        <w:t xml:space="preserve"> (</w:t>
      </w:r>
      <w:r w:rsidRPr="00C82958">
        <w:rPr>
          <w:rStyle w:val="ui-provider"/>
        </w:rPr>
        <w:t>centrales et collectivités</w:t>
      </w:r>
      <w:r w:rsidR="00C82958">
        <w:rPr>
          <w:rStyle w:val="ui-provider"/>
        </w:rPr>
        <w:t>)</w:t>
      </w:r>
      <w:r w:rsidRPr="00C82958">
        <w:rPr>
          <w:rStyle w:val="ui-provider"/>
        </w:rPr>
        <w:t>.</w:t>
      </w:r>
    </w:p>
    <w:p w14:paraId="11B15C9D" w14:textId="77777777" w:rsidR="00A97403" w:rsidRDefault="00A97403" w:rsidP="003215BA">
      <w:pPr>
        <w:pStyle w:val="Paragraphedeliste"/>
      </w:pPr>
    </w:p>
    <w:p w14:paraId="24DA5DE4" w14:textId="77777777" w:rsidR="00050A29" w:rsidRDefault="00050A29" w:rsidP="0D67A0E9"/>
    <w:p w14:paraId="46A64477" w14:textId="77777777" w:rsidR="00050A29" w:rsidRPr="006558B9" w:rsidRDefault="00050A29" w:rsidP="0D67A0E9"/>
    <w:p w14:paraId="0C26210D" w14:textId="1EA9FC36" w:rsidR="1F0A59E9" w:rsidRPr="006558B9" w:rsidRDefault="00D19A59" w:rsidP="78C8608F">
      <w:pPr>
        <w:pStyle w:val="Titre1"/>
      </w:pPr>
      <w:r>
        <w:t xml:space="preserve"> </w:t>
      </w:r>
      <w:bookmarkStart w:id="141" w:name="_Ref164951865"/>
      <w:bookmarkStart w:id="142" w:name="_Ref164951893"/>
      <w:bookmarkStart w:id="143" w:name="_Toc177052123"/>
      <w:r w:rsidR="01115E1D">
        <w:t>L</w:t>
      </w:r>
      <w:r w:rsidR="00AE72B7">
        <w:t xml:space="preserve">es </w:t>
      </w:r>
      <w:r w:rsidR="304AC54D">
        <w:t>A</w:t>
      </w:r>
      <w:r w:rsidR="00AE72B7">
        <w:t>gences de l’eau</w:t>
      </w:r>
      <w:bookmarkEnd w:id="141"/>
      <w:bookmarkEnd w:id="142"/>
      <w:bookmarkEnd w:id="143"/>
    </w:p>
    <w:p w14:paraId="20A2518B" w14:textId="0A9190FC" w:rsidR="66B44E0A" w:rsidRDefault="0C95F761" w:rsidP="001B6CA9">
      <w:pPr>
        <w:pStyle w:val="Titre2"/>
      </w:pPr>
      <w:r>
        <w:t xml:space="preserve"> </w:t>
      </w:r>
      <w:bookmarkStart w:id="144" w:name="_Toc177052124"/>
      <w:r>
        <w:t>Présentation générale et sources principales des données</w:t>
      </w:r>
      <w:bookmarkEnd w:id="144"/>
    </w:p>
    <w:p w14:paraId="5CA1588B" w14:textId="3A49A48D" w:rsidR="66B44E0A" w:rsidRDefault="0C95F761" w:rsidP="78C8608F">
      <w:r>
        <w:t>Les Agences de l’eau bénéficient d’un budget dont la totalité ou l’immense majorité (selon les années) ne provient pas du budget de l’</w:t>
      </w:r>
      <w:r w:rsidR="00594801">
        <w:t>État</w:t>
      </w:r>
      <w:r>
        <w:t xml:space="preserve">, mais des </w:t>
      </w:r>
      <w:r w:rsidR="301E8939">
        <w:t xml:space="preserve">redevances perçues directement par les Agences. </w:t>
      </w:r>
      <w:r w:rsidR="4CEC59A7">
        <w:t>Les Agences de l’eau</w:t>
      </w:r>
      <w:r w:rsidR="301E8939">
        <w:t xml:space="preserve"> produisent tous les ans un rapport financier, remis à l’</w:t>
      </w:r>
      <w:r w:rsidR="00594801">
        <w:t>État</w:t>
      </w:r>
      <w:r w:rsidR="301E8939">
        <w:t xml:space="preserve"> et agrégé en un “Jaune budgétaire”, annexé au projet de loi de finances de l’année</w:t>
      </w:r>
      <w:r w:rsidR="639DC058">
        <w:t xml:space="preserve">, et mis à disposition sur le site </w:t>
      </w:r>
      <w:hyperlink r:id="rId34">
        <w:r w:rsidR="13281482" w:rsidRPr="78C8608F">
          <w:rPr>
            <w:rStyle w:val="Lienhypertexte"/>
            <w:rFonts w:eastAsia="Source Sans Pro Light" w:cs="Source Sans Pro Light"/>
          </w:rPr>
          <w:t>budget.gouv.fr</w:t>
        </w:r>
      </w:hyperlink>
      <w:r w:rsidR="13281482" w:rsidRPr="78C8608F">
        <w:rPr>
          <w:rFonts w:eastAsia="Source Sans Pro Light" w:cs="Source Sans Pro Light"/>
        </w:rPr>
        <w:t xml:space="preserve">. </w:t>
      </w:r>
      <w:r w:rsidR="301E8939">
        <w:t>Ce jaune budgétaire présente les finances des six Agences, ainsi qu</w:t>
      </w:r>
      <w:r w:rsidR="03FDC405">
        <w:t>e des chiffres agrégés.</w:t>
      </w:r>
      <w:r w:rsidR="75822F3D">
        <w:t xml:space="preserve"> </w:t>
      </w:r>
    </w:p>
    <w:p w14:paraId="1314A7C4" w14:textId="4E52BCF0" w:rsidR="534D88B4" w:rsidRDefault="75822F3D" w:rsidP="78C8608F">
      <w:r>
        <w:t xml:space="preserve">Les chiffres agrégés de ces Jaunes budgétaires </w:t>
      </w:r>
      <w:r w:rsidR="159723D0">
        <w:t xml:space="preserve">fournissent le total des dépenses d’intervention mais </w:t>
      </w:r>
      <w:r>
        <w:t xml:space="preserve">n’ont cependant pas la granularité suffisante pour isoler les dépenses bénéficiant au système alimentaire. </w:t>
      </w:r>
      <w:r w:rsidR="7CA2BA30">
        <w:t xml:space="preserve">En parcourant les sections des Jaunes budgétaires spécifiques à chaque Agence de l’eau, nous avons identifié </w:t>
      </w:r>
      <w:r w:rsidR="0815FD37">
        <w:t xml:space="preserve">deux dépenses d’intervention bénéficiant au système alimentaire : </w:t>
      </w:r>
      <w:r w:rsidR="305A71B9">
        <w:t xml:space="preserve">les “Aides individuelles octroyées aux agriculteurs”, et </w:t>
      </w:r>
      <w:r w:rsidR="18C95446">
        <w:t>ce</w:t>
      </w:r>
      <w:r w:rsidR="305A71B9">
        <w:t xml:space="preserve"> </w:t>
      </w:r>
      <w:r w:rsidR="18C95446">
        <w:t xml:space="preserve">que nous avons appelé les </w:t>
      </w:r>
      <w:r w:rsidR="305A71B9">
        <w:t>“Autres aides au système alimentaire”</w:t>
      </w:r>
      <w:r w:rsidR="30188902">
        <w:t>. La première semble être uniquement distribuée par l’Agence de l’eau Adour Garonne</w:t>
      </w:r>
      <w:r w:rsidR="14C09593">
        <w:t xml:space="preserve"> : nous avons repris les chiffres indiqués pour la période 2018-2022, puis avons retenu le chiffre de 2022 pour les années 2023 et 2024 (le prévisionnel n’étant pas fourni)</w:t>
      </w:r>
      <w:r w:rsidR="30188902">
        <w:t xml:space="preserve">. Concernant la seconde, nous avons repris les chiffres collectés en 2021 pour les années 2018 et 2019, et avons repris </w:t>
      </w:r>
      <w:r w:rsidR="54C2A4D9">
        <w:t>leur part dans le total des interventions, que nous avons appliqué aux années suivantes.</w:t>
      </w:r>
    </w:p>
    <w:p w14:paraId="2B64431B" w14:textId="25B52628" w:rsidR="788DA6BD" w:rsidRDefault="788DA6BD" w:rsidP="78C8608F">
      <w:r>
        <w:t>Pour toutes les années, nous retenons les montants exécutés pour les montants prévisionnels.</w:t>
      </w:r>
    </w:p>
    <w:p w14:paraId="7B1E3103" w14:textId="1FAC67ED" w:rsidR="66B44E0A" w:rsidRDefault="0C95F761" w:rsidP="00F94C73">
      <w:pPr>
        <w:pStyle w:val="Titre2"/>
        <w:ind w:left="851"/>
      </w:pPr>
      <w:bookmarkStart w:id="145" w:name="_Toc177052125"/>
      <w:r>
        <w:t>Données manquantes et limites</w:t>
      </w:r>
      <w:bookmarkEnd w:id="145"/>
    </w:p>
    <w:p w14:paraId="12D18DE9" w14:textId="757082FE" w:rsidR="3BFBE751" w:rsidRDefault="3BFBE751" w:rsidP="78C8608F">
      <w:r>
        <w:t xml:space="preserve">Des données plus désagrégées par type de secteurs bénéficiaires </w:t>
      </w:r>
      <w:r w:rsidR="74EA7C53">
        <w:t xml:space="preserve">nous permettraient d’être plus exhaustifs et solides sur les montants totaux collectés en provenance des Agences de l’eau. A notre connaissance, de tels chiffres n’existent pas agrégés pour les 6 </w:t>
      </w:r>
      <w:r w:rsidR="09191BF8">
        <w:t>Agences de l’eau.</w:t>
      </w:r>
    </w:p>
    <w:p w14:paraId="1F2203EC" w14:textId="48F7BD1E" w:rsidR="66B44E0A" w:rsidRPr="006558B9" w:rsidRDefault="66B44E0A" w:rsidP="15D9C05A"/>
    <w:p w14:paraId="788CD3DB" w14:textId="023E305D" w:rsidR="485F256B" w:rsidRDefault="485F256B" w:rsidP="485F256B">
      <w:bookmarkStart w:id="146" w:name="_Toc164263726"/>
      <w:bookmarkStart w:id="147" w:name="_Toc164263727"/>
      <w:bookmarkStart w:id="148" w:name="_Toc164263728"/>
      <w:bookmarkStart w:id="149" w:name="_Toc164263729"/>
      <w:bookmarkStart w:id="150" w:name="_Toc164263730"/>
      <w:bookmarkStart w:id="151" w:name="_Toc164263731"/>
      <w:bookmarkStart w:id="152" w:name="_Toc164263732"/>
      <w:bookmarkStart w:id="153" w:name="_Toc164263733"/>
      <w:bookmarkStart w:id="154" w:name="_Toc164263734"/>
      <w:bookmarkStart w:id="155" w:name="_Toc164263735"/>
      <w:bookmarkStart w:id="156" w:name="_Toc164263736"/>
      <w:bookmarkStart w:id="157" w:name="_Toc164263737"/>
      <w:bookmarkStart w:id="158" w:name="_Toc164263738"/>
      <w:bookmarkEnd w:id="146"/>
      <w:bookmarkEnd w:id="147"/>
      <w:bookmarkEnd w:id="148"/>
      <w:bookmarkEnd w:id="149"/>
      <w:bookmarkEnd w:id="150"/>
      <w:bookmarkEnd w:id="151"/>
      <w:bookmarkEnd w:id="152"/>
      <w:bookmarkEnd w:id="153"/>
      <w:bookmarkEnd w:id="154"/>
      <w:bookmarkEnd w:id="155"/>
      <w:bookmarkEnd w:id="156"/>
      <w:bookmarkEnd w:id="157"/>
      <w:bookmarkEnd w:id="158"/>
    </w:p>
    <w:p w14:paraId="702D5BEB" w14:textId="746EED02" w:rsidR="485F256B" w:rsidRDefault="72CB29C4" w:rsidP="006558B9">
      <w:pPr>
        <w:pStyle w:val="Titre1"/>
      </w:pPr>
      <w:bookmarkStart w:id="159" w:name="_Toc1239470804"/>
      <w:bookmarkStart w:id="160" w:name="_Toc177052126"/>
      <w:r>
        <w:lastRenderedPageBreak/>
        <w:t>Annexes</w:t>
      </w:r>
      <w:bookmarkEnd w:id="159"/>
      <w:bookmarkEnd w:id="160"/>
      <w:r>
        <w:t xml:space="preserve"> </w:t>
      </w:r>
    </w:p>
    <w:p w14:paraId="36845038" w14:textId="77777777" w:rsidR="008827CB" w:rsidRPr="008827CB" w:rsidRDefault="008827CB" w:rsidP="008827CB"/>
    <w:p w14:paraId="2626286C" w14:textId="38D850C4" w:rsidR="008827CB" w:rsidRPr="008827CB" w:rsidRDefault="008827CB" w:rsidP="008827CB">
      <w:pPr>
        <w:pStyle w:val="Titre2"/>
      </w:pPr>
      <w:bookmarkStart w:id="161" w:name="_Ref164951836"/>
      <w:bookmarkStart w:id="162" w:name="_Toc177052127"/>
      <w:r>
        <w:t>Détail des bénéficiaires</w:t>
      </w:r>
      <w:bookmarkEnd w:id="161"/>
      <w:bookmarkEnd w:id="162"/>
    </w:p>
    <w:tbl>
      <w:tblPr>
        <w:tblW w:w="9770" w:type="dxa"/>
        <w:tblLayout w:type="fixed"/>
        <w:tblLook w:val="06A0" w:firstRow="1" w:lastRow="0" w:firstColumn="1" w:lastColumn="0" w:noHBand="1" w:noVBand="1"/>
      </w:tblPr>
      <w:tblGrid>
        <w:gridCol w:w="1860"/>
        <w:gridCol w:w="1815"/>
        <w:gridCol w:w="1875"/>
        <w:gridCol w:w="4220"/>
      </w:tblGrid>
      <w:tr w:rsidR="485F256B" w14:paraId="4B338B9E" w14:textId="77777777" w:rsidTr="009139A1">
        <w:trPr>
          <w:trHeight w:val="285"/>
        </w:trPr>
        <w:tc>
          <w:tcPr>
            <w:tcW w:w="1860" w:type="dxa"/>
            <w:tcBorders>
              <w:top w:val="nil"/>
              <w:left w:val="nil"/>
              <w:bottom w:val="nil"/>
              <w:right w:val="nil"/>
            </w:tcBorders>
            <w:shd w:val="clear" w:color="auto" w:fill="000000" w:themeFill="text1"/>
            <w:vAlign w:val="center"/>
          </w:tcPr>
          <w:p w14:paraId="1780C3CF" w14:textId="78A475CF" w:rsidR="485F256B" w:rsidRPr="009139A1" w:rsidRDefault="16DEBE84" w:rsidP="009139A1">
            <w:pPr>
              <w:spacing w:after="0"/>
              <w:jc w:val="left"/>
              <w:rPr>
                <w:rFonts w:eastAsia="Source Sans Pro Light" w:cs="Source Sans Pro Light"/>
                <w:b/>
                <w:bCs/>
                <w:color w:val="FFFFFF" w:themeColor="background1"/>
              </w:rPr>
            </w:pPr>
            <w:r w:rsidRPr="009139A1">
              <w:rPr>
                <w:rFonts w:eastAsia="Source Sans Pro Light" w:cs="Source Sans Pro Light"/>
                <w:b/>
                <w:bCs/>
                <w:color w:val="FFFFFF" w:themeColor="background1"/>
              </w:rPr>
              <w:t>Bénéficiaire_niv1</w:t>
            </w:r>
          </w:p>
        </w:tc>
        <w:tc>
          <w:tcPr>
            <w:tcW w:w="1815" w:type="dxa"/>
            <w:tcBorders>
              <w:top w:val="nil"/>
              <w:left w:val="nil"/>
              <w:bottom w:val="nil"/>
              <w:right w:val="nil"/>
            </w:tcBorders>
            <w:shd w:val="clear" w:color="auto" w:fill="000000" w:themeFill="text1"/>
            <w:vAlign w:val="center"/>
          </w:tcPr>
          <w:p w14:paraId="4E5E323B" w14:textId="4465D28B" w:rsidR="485F256B" w:rsidRPr="009139A1" w:rsidRDefault="16DEBE84" w:rsidP="009139A1">
            <w:pPr>
              <w:spacing w:after="0"/>
              <w:jc w:val="left"/>
              <w:rPr>
                <w:rFonts w:eastAsia="Source Sans Pro Light" w:cs="Source Sans Pro Light"/>
                <w:b/>
                <w:bCs/>
                <w:color w:val="FFFFFF" w:themeColor="background1"/>
              </w:rPr>
            </w:pPr>
            <w:r w:rsidRPr="009139A1">
              <w:rPr>
                <w:rFonts w:eastAsia="Source Sans Pro Light" w:cs="Source Sans Pro Light"/>
                <w:b/>
                <w:bCs/>
                <w:color w:val="FFFFFF" w:themeColor="background1"/>
              </w:rPr>
              <w:t>Bénéficiaire_niv2</w:t>
            </w:r>
          </w:p>
        </w:tc>
        <w:tc>
          <w:tcPr>
            <w:tcW w:w="1875" w:type="dxa"/>
            <w:tcBorders>
              <w:top w:val="nil"/>
              <w:left w:val="nil"/>
              <w:bottom w:val="nil"/>
              <w:right w:val="nil"/>
            </w:tcBorders>
            <w:shd w:val="clear" w:color="auto" w:fill="000000" w:themeFill="text1"/>
            <w:vAlign w:val="center"/>
          </w:tcPr>
          <w:p w14:paraId="5B1CCD4E" w14:textId="5D64FA2A" w:rsidR="485F256B" w:rsidRPr="009139A1" w:rsidRDefault="16DEBE84" w:rsidP="009139A1">
            <w:pPr>
              <w:spacing w:after="0"/>
              <w:jc w:val="left"/>
              <w:rPr>
                <w:rFonts w:eastAsia="Source Sans Pro Light" w:cs="Source Sans Pro Light"/>
                <w:b/>
                <w:bCs/>
                <w:color w:val="FFFFFF" w:themeColor="background1"/>
              </w:rPr>
            </w:pPr>
            <w:r w:rsidRPr="009139A1">
              <w:rPr>
                <w:rFonts w:eastAsia="Source Sans Pro Light" w:cs="Source Sans Pro Light"/>
                <w:b/>
                <w:bCs/>
                <w:color w:val="FFFFFF" w:themeColor="background1"/>
              </w:rPr>
              <w:t>Bénéficiaire_niv3</w:t>
            </w:r>
          </w:p>
        </w:tc>
        <w:tc>
          <w:tcPr>
            <w:tcW w:w="4220" w:type="dxa"/>
            <w:tcBorders>
              <w:top w:val="nil"/>
              <w:left w:val="nil"/>
              <w:bottom w:val="nil"/>
              <w:right w:val="nil"/>
            </w:tcBorders>
            <w:shd w:val="clear" w:color="auto" w:fill="000000" w:themeFill="text1"/>
            <w:vAlign w:val="center"/>
          </w:tcPr>
          <w:p w14:paraId="797D95D1" w14:textId="0DD0227B" w:rsidR="5EEECF65" w:rsidRPr="009139A1" w:rsidRDefault="078708EB" w:rsidP="009139A1">
            <w:pPr>
              <w:jc w:val="left"/>
              <w:rPr>
                <w:rFonts w:eastAsia="Source Sans Pro Light" w:cs="Source Sans Pro Light"/>
                <w:b/>
                <w:bCs/>
                <w:color w:val="FFFFFF" w:themeColor="background1"/>
              </w:rPr>
            </w:pPr>
            <w:r w:rsidRPr="009139A1">
              <w:rPr>
                <w:rFonts w:eastAsia="Source Sans Pro Light" w:cs="Source Sans Pro Light"/>
                <w:b/>
                <w:bCs/>
                <w:color w:val="FFFFFF" w:themeColor="background1"/>
              </w:rPr>
              <w:t>Description</w:t>
            </w:r>
          </w:p>
        </w:tc>
      </w:tr>
      <w:tr w:rsidR="485F256B" w14:paraId="20859DF8" w14:textId="77777777" w:rsidTr="78C8608F">
        <w:trPr>
          <w:trHeight w:val="285"/>
        </w:trPr>
        <w:tc>
          <w:tcPr>
            <w:tcW w:w="1860" w:type="dxa"/>
            <w:tcBorders>
              <w:top w:val="nil"/>
              <w:left w:val="nil"/>
              <w:bottom w:val="nil"/>
              <w:right w:val="nil"/>
            </w:tcBorders>
          </w:tcPr>
          <w:p w14:paraId="1FE11F8E" w14:textId="377395E0"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PRODINTR</w:t>
            </w:r>
          </w:p>
        </w:tc>
        <w:tc>
          <w:tcPr>
            <w:tcW w:w="1815" w:type="dxa"/>
            <w:tcBorders>
              <w:top w:val="nil"/>
              <w:left w:val="nil"/>
              <w:bottom w:val="nil"/>
              <w:right w:val="nil"/>
            </w:tcBorders>
          </w:tcPr>
          <w:p w14:paraId="60CF4DB1" w14:textId="61C2E072"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GENANIM</w:t>
            </w:r>
          </w:p>
        </w:tc>
        <w:tc>
          <w:tcPr>
            <w:tcW w:w="1875" w:type="dxa"/>
            <w:tcBorders>
              <w:top w:val="nil"/>
              <w:left w:val="nil"/>
              <w:bottom w:val="nil"/>
              <w:right w:val="nil"/>
            </w:tcBorders>
          </w:tcPr>
          <w:p w14:paraId="6C3C42C3" w14:textId="6F2F08D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2E26690B" w14:textId="75FF740A" w:rsidR="47EEDD1A" w:rsidRDefault="7DE0EC74" w:rsidP="78C8608F">
            <w:pPr>
              <w:jc w:val="left"/>
              <w:rPr>
                <w:rFonts w:eastAsia="Source Sans Pro Light" w:cs="Source Sans Pro Light"/>
                <w:color w:val="000000" w:themeColor="text1"/>
              </w:rPr>
            </w:pPr>
            <w:r w:rsidRPr="78C8608F">
              <w:rPr>
                <w:rFonts w:eastAsia="Source Sans Pro Light" w:cs="Source Sans Pro Light"/>
                <w:color w:val="000000" w:themeColor="text1"/>
              </w:rPr>
              <w:t>Génétique animale</w:t>
            </w:r>
          </w:p>
        </w:tc>
      </w:tr>
      <w:tr w:rsidR="485F256B" w14:paraId="72ACED32" w14:textId="77777777" w:rsidTr="78C8608F">
        <w:trPr>
          <w:trHeight w:val="285"/>
        </w:trPr>
        <w:tc>
          <w:tcPr>
            <w:tcW w:w="1860" w:type="dxa"/>
            <w:tcBorders>
              <w:top w:val="nil"/>
              <w:left w:val="nil"/>
              <w:bottom w:val="nil"/>
              <w:right w:val="nil"/>
            </w:tcBorders>
          </w:tcPr>
          <w:p w14:paraId="221ED07F" w14:textId="1D73ECD1"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PRODINTR</w:t>
            </w:r>
          </w:p>
        </w:tc>
        <w:tc>
          <w:tcPr>
            <w:tcW w:w="1815" w:type="dxa"/>
            <w:tcBorders>
              <w:top w:val="nil"/>
              <w:left w:val="nil"/>
              <w:bottom w:val="nil"/>
              <w:right w:val="nil"/>
            </w:tcBorders>
          </w:tcPr>
          <w:p w14:paraId="5D1399B8" w14:textId="2CFC373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PROTECVEGE</w:t>
            </w:r>
          </w:p>
        </w:tc>
        <w:tc>
          <w:tcPr>
            <w:tcW w:w="1875" w:type="dxa"/>
            <w:tcBorders>
              <w:top w:val="nil"/>
              <w:left w:val="nil"/>
              <w:bottom w:val="nil"/>
              <w:right w:val="nil"/>
            </w:tcBorders>
          </w:tcPr>
          <w:p w14:paraId="64B0331E" w14:textId="6831ED1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469F88B8" w14:textId="2034C7D4" w:rsidR="47EEDD1A" w:rsidRDefault="21DB711B"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Protection des végétaux</w:t>
            </w:r>
          </w:p>
        </w:tc>
      </w:tr>
      <w:tr w:rsidR="485F256B" w14:paraId="670D5D6A" w14:textId="77777777" w:rsidTr="78C8608F">
        <w:trPr>
          <w:trHeight w:val="285"/>
        </w:trPr>
        <w:tc>
          <w:tcPr>
            <w:tcW w:w="1860" w:type="dxa"/>
            <w:tcBorders>
              <w:top w:val="nil"/>
              <w:left w:val="nil"/>
              <w:bottom w:val="nil"/>
              <w:right w:val="nil"/>
            </w:tcBorders>
          </w:tcPr>
          <w:p w14:paraId="3812E204" w14:textId="00F7ACC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PRODINTR</w:t>
            </w:r>
          </w:p>
        </w:tc>
        <w:tc>
          <w:tcPr>
            <w:tcW w:w="1815" w:type="dxa"/>
            <w:tcBorders>
              <w:top w:val="nil"/>
              <w:left w:val="nil"/>
              <w:bottom w:val="nil"/>
              <w:right w:val="nil"/>
            </w:tcBorders>
          </w:tcPr>
          <w:p w14:paraId="131D3C0B" w14:textId="69A61EF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SEMENCES</w:t>
            </w:r>
          </w:p>
        </w:tc>
        <w:tc>
          <w:tcPr>
            <w:tcW w:w="1875" w:type="dxa"/>
            <w:tcBorders>
              <w:top w:val="nil"/>
              <w:left w:val="nil"/>
              <w:bottom w:val="nil"/>
              <w:right w:val="nil"/>
            </w:tcBorders>
          </w:tcPr>
          <w:p w14:paraId="52EF131B" w14:textId="37A0801E"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597765B4" w14:textId="29B3858D" w:rsidR="47EEDD1A" w:rsidRDefault="07A5847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Production de semences</w:t>
            </w:r>
          </w:p>
        </w:tc>
      </w:tr>
      <w:tr w:rsidR="485F256B" w14:paraId="3184BF48" w14:textId="77777777" w:rsidTr="78C8608F">
        <w:trPr>
          <w:trHeight w:val="285"/>
        </w:trPr>
        <w:tc>
          <w:tcPr>
            <w:tcW w:w="1860" w:type="dxa"/>
            <w:tcBorders>
              <w:top w:val="nil"/>
              <w:left w:val="nil"/>
              <w:bottom w:val="nil"/>
              <w:right w:val="nil"/>
            </w:tcBorders>
          </w:tcPr>
          <w:p w14:paraId="6E065B43" w14:textId="622B551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PRODINTR</w:t>
            </w:r>
          </w:p>
        </w:tc>
        <w:tc>
          <w:tcPr>
            <w:tcW w:w="1815" w:type="dxa"/>
            <w:tcBorders>
              <w:top w:val="nil"/>
              <w:left w:val="nil"/>
              <w:bottom w:val="nil"/>
              <w:right w:val="nil"/>
            </w:tcBorders>
          </w:tcPr>
          <w:p w14:paraId="7767FCF0" w14:textId="1FBAB26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VETERIN</w:t>
            </w:r>
          </w:p>
        </w:tc>
        <w:tc>
          <w:tcPr>
            <w:tcW w:w="1875" w:type="dxa"/>
            <w:tcBorders>
              <w:top w:val="nil"/>
              <w:left w:val="nil"/>
              <w:bottom w:val="nil"/>
              <w:right w:val="nil"/>
            </w:tcBorders>
          </w:tcPr>
          <w:p w14:paraId="41E0DD02" w14:textId="3B24715E"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7ADEA1E" w14:textId="4BABE6BC" w:rsidR="47EEDD1A" w:rsidRDefault="7748919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Soins vétérinaires</w:t>
            </w:r>
          </w:p>
        </w:tc>
      </w:tr>
      <w:tr w:rsidR="485F256B" w14:paraId="7F05C553" w14:textId="77777777" w:rsidTr="78C8608F">
        <w:trPr>
          <w:trHeight w:val="285"/>
        </w:trPr>
        <w:tc>
          <w:tcPr>
            <w:tcW w:w="1860" w:type="dxa"/>
            <w:tcBorders>
              <w:top w:val="nil"/>
              <w:left w:val="nil"/>
              <w:bottom w:val="nil"/>
              <w:right w:val="nil"/>
            </w:tcBorders>
          </w:tcPr>
          <w:p w14:paraId="778DB653" w14:textId="4A47474C"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PRODINTR</w:t>
            </w:r>
          </w:p>
        </w:tc>
        <w:tc>
          <w:tcPr>
            <w:tcW w:w="1815" w:type="dxa"/>
            <w:tcBorders>
              <w:top w:val="nil"/>
              <w:left w:val="nil"/>
              <w:bottom w:val="nil"/>
              <w:right w:val="nil"/>
            </w:tcBorders>
          </w:tcPr>
          <w:p w14:paraId="69B84882" w14:textId="1C21C36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48F91105" w14:textId="68DC173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36674DC5" w14:textId="4CDA933E" w:rsidR="47EEDD1A" w:rsidRDefault="334B6F5E"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Production d’intrants - Mixte</w:t>
            </w:r>
          </w:p>
        </w:tc>
      </w:tr>
      <w:tr w:rsidR="485F256B" w14:paraId="4E4D3D01" w14:textId="77777777" w:rsidTr="78C8608F">
        <w:trPr>
          <w:trHeight w:val="285"/>
        </w:trPr>
        <w:tc>
          <w:tcPr>
            <w:tcW w:w="1860" w:type="dxa"/>
            <w:tcBorders>
              <w:top w:val="nil"/>
              <w:left w:val="nil"/>
              <w:bottom w:val="nil"/>
              <w:right w:val="nil"/>
            </w:tcBorders>
          </w:tcPr>
          <w:p w14:paraId="09D391E4" w14:textId="713E100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0124E2D9" w14:textId="698F34D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ELEVAGE</w:t>
            </w:r>
          </w:p>
        </w:tc>
        <w:tc>
          <w:tcPr>
            <w:tcW w:w="1875" w:type="dxa"/>
            <w:tcBorders>
              <w:top w:val="nil"/>
              <w:left w:val="nil"/>
              <w:bottom w:val="nil"/>
              <w:right w:val="nil"/>
            </w:tcBorders>
          </w:tcPr>
          <w:p w14:paraId="34C4534F" w14:textId="673A0519"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BOVIN</w:t>
            </w:r>
          </w:p>
        </w:tc>
        <w:tc>
          <w:tcPr>
            <w:tcW w:w="4220" w:type="dxa"/>
            <w:tcBorders>
              <w:top w:val="nil"/>
              <w:left w:val="nil"/>
              <w:bottom w:val="nil"/>
              <w:right w:val="nil"/>
            </w:tcBorders>
          </w:tcPr>
          <w:p w14:paraId="5ED456F1" w14:textId="013F9971" w:rsidR="47EEDD1A" w:rsidRDefault="1E49EF4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Elevage bovin</w:t>
            </w:r>
          </w:p>
        </w:tc>
      </w:tr>
      <w:tr w:rsidR="485F256B" w14:paraId="01AF159D" w14:textId="77777777" w:rsidTr="78C8608F">
        <w:trPr>
          <w:trHeight w:val="285"/>
        </w:trPr>
        <w:tc>
          <w:tcPr>
            <w:tcW w:w="1860" w:type="dxa"/>
            <w:tcBorders>
              <w:top w:val="nil"/>
              <w:left w:val="nil"/>
              <w:bottom w:val="nil"/>
              <w:right w:val="nil"/>
            </w:tcBorders>
          </w:tcPr>
          <w:p w14:paraId="0FCA74B4" w14:textId="0B5C723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1ACAEC35" w14:textId="58F9AA0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ELEVAGE</w:t>
            </w:r>
          </w:p>
        </w:tc>
        <w:tc>
          <w:tcPr>
            <w:tcW w:w="1875" w:type="dxa"/>
            <w:tcBorders>
              <w:top w:val="nil"/>
              <w:left w:val="nil"/>
              <w:bottom w:val="nil"/>
              <w:right w:val="nil"/>
            </w:tcBorders>
          </w:tcPr>
          <w:p w14:paraId="3E08308A" w14:textId="4B6F55D1"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OVINCAPRIN</w:t>
            </w:r>
          </w:p>
        </w:tc>
        <w:tc>
          <w:tcPr>
            <w:tcW w:w="4220" w:type="dxa"/>
            <w:tcBorders>
              <w:top w:val="nil"/>
              <w:left w:val="nil"/>
              <w:bottom w:val="nil"/>
              <w:right w:val="nil"/>
            </w:tcBorders>
          </w:tcPr>
          <w:p w14:paraId="330A01D9" w14:textId="133B1C91" w:rsidR="47EEDD1A" w:rsidRDefault="7681A41F" w:rsidP="78C8608F">
            <w:pPr>
              <w:jc w:val="left"/>
              <w:rPr>
                <w:rFonts w:eastAsia="Source Sans Pro Light" w:cs="Source Sans Pro Light"/>
                <w:color w:val="000000" w:themeColor="text1"/>
              </w:rPr>
            </w:pPr>
            <w:r w:rsidRPr="78C8608F">
              <w:rPr>
                <w:rFonts w:eastAsia="Source Sans Pro Light" w:cs="Source Sans Pro Light"/>
                <w:color w:val="000000" w:themeColor="text1"/>
              </w:rPr>
              <w:t>Elevage ovin caprin</w:t>
            </w:r>
          </w:p>
        </w:tc>
      </w:tr>
      <w:tr w:rsidR="485F256B" w14:paraId="226DF045" w14:textId="77777777" w:rsidTr="78C8608F">
        <w:trPr>
          <w:trHeight w:val="285"/>
        </w:trPr>
        <w:tc>
          <w:tcPr>
            <w:tcW w:w="1860" w:type="dxa"/>
            <w:tcBorders>
              <w:top w:val="nil"/>
              <w:left w:val="nil"/>
              <w:bottom w:val="nil"/>
              <w:right w:val="nil"/>
            </w:tcBorders>
          </w:tcPr>
          <w:p w14:paraId="0348781C" w14:textId="4559D449"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30B139BE" w14:textId="5FE1E6E9"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ELEVAGE</w:t>
            </w:r>
          </w:p>
        </w:tc>
        <w:tc>
          <w:tcPr>
            <w:tcW w:w="1875" w:type="dxa"/>
            <w:tcBorders>
              <w:top w:val="nil"/>
              <w:left w:val="nil"/>
              <w:bottom w:val="nil"/>
              <w:right w:val="nil"/>
            </w:tcBorders>
          </w:tcPr>
          <w:p w14:paraId="48C237EE" w14:textId="0299905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VOLAILLE</w:t>
            </w:r>
          </w:p>
        </w:tc>
        <w:tc>
          <w:tcPr>
            <w:tcW w:w="4220" w:type="dxa"/>
            <w:tcBorders>
              <w:top w:val="nil"/>
              <w:left w:val="nil"/>
              <w:bottom w:val="nil"/>
              <w:right w:val="nil"/>
            </w:tcBorders>
          </w:tcPr>
          <w:p w14:paraId="585C3139" w14:textId="0F0CED49" w:rsidR="47EEDD1A" w:rsidRDefault="78FD3986" w:rsidP="78C8608F">
            <w:pPr>
              <w:jc w:val="left"/>
              <w:rPr>
                <w:rFonts w:eastAsia="Source Sans Pro Light" w:cs="Source Sans Pro Light"/>
                <w:color w:val="000000" w:themeColor="text1"/>
              </w:rPr>
            </w:pPr>
            <w:r w:rsidRPr="78C8608F">
              <w:rPr>
                <w:rFonts w:eastAsia="Source Sans Pro Light" w:cs="Source Sans Pro Light"/>
                <w:color w:val="000000" w:themeColor="text1"/>
              </w:rPr>
              <w:t>Elevage de volaille</w:t>
            </w:r>
          </w:p>
        </w:tc>
      </w:tr>
      <w:tr w:rsidR="78C8608F" w14:paraId="32E2CBB6" w14:textId="77777777" w:rsidTr="78C8608F">
        <w:trPr>
          <w:trHeight w:val="285"/>
        </w:trPr>
        <w:tc>
          <w:tcPr>
            <w:tcW w:w="1860" w:type="dxa"/>
            <w:tcBorders>
              <w:top w:val="nil"/>
              <w:left w:val="nil"/>
              <w:bottom w:val="nil"/>
              <w:right w:val="nil"/>
            </w:tcBorders>
          </w:tcPr>
          <w:p w14:paraId="2E24B045" w14:textId="4AE1AE18"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7E7209FA" w14:textId="2096136D"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ELEVAGE</w:t>
            </w:r>
          </w:p>
        </w:tc>
        <w:tc>
          <w:tcPr>
            <w:tcW w:w="1875" w:type="dxa"/>
            <w:tcBorders>
              <w:top w:val="nil"/>
              <w:left w:val="nil"/>
              <w:bottom w:val="nil"/>
              <w:right w:val="nil"/>
            </w:tcBorders>
          </w:tcPr>
          <w:p w14:paraId="250D2752" w14:textId="1DB6E463"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CD88D3C" w14:textId="2B517DB8" w:rsidR="56926D68" w:rsidRDefault="56926D68" w:rsidP="78C8608F">
            <w:pPr>
              <w:jc w:val="left"/>
              <w:rPr>
                <w:rFonts w:eastAsia="Source Sans Pro Light" w:cs="Source Sans Pro Light"/>
                <w:color w:val="000000" w:themeColor="text1"/>
              </w:rPr>
            </w:pPr>
            <w:r w:rsidRPr="78C8608F">
              <w:rPr>
                <w:rFonts w:eastAsia="Source Sans Pro Light" w:cs="Source Sans Pro Light"/>
                <w:color w:val="000000" w:themeColor="text1"/>
              </w:rPr>
              <w:t xml:space="preserve">Elevage </w:t>
            </w:r>
            <w:r w:rsidR="25507FDD" w:rsidRPr="78C8608F">
              <w:rPr>
                <w:rFonts w:eastAsia="Source Sans Pro Light" w:cs="Source Sans Pro Light"/>
                <w:color w:val="000000" w:themeColor="text1"/>
              </w:rPr>
              <w:t>- M</w:t>
            </w:r>
            <w:r w:rsidRPr="78C8608F">
              <w:rPr>
                <w:rFonts w:eastAsia="Source Sans Pro Light" w:cs="Source Sans Pro Light"/>
                <w:color w:val="000000" w:themeColor="text1"/>
              </w:rPr>
              <w:t>ixte</w:t>
            </w:r>
          </w:p>
        </w:tc>
      </w:tr>
      <w:tr w:rsidR="485F256B" w14:paraId="51450CE5" w14:textId="77777777" w:rsidTr="78C8608F">
        <w:trPr>
          <w:trHeight w:val="285"/>
        </w:trPr>
        <w:tc>
          <w:tcPr>
            <w:tcW w:w="1860" w:type="dxa"/>
            <w:tcBorders>
              <w:top w:val="nil"/>
              <w:left w:val="nil"/>
              <w:bottom w:val="nil"/>
              <w:right w:val="nil"/>
            </w:tcBorders>
          </w:tcPr>
          <w:p w14:paraId="177040DB" w14:textId="2CE1310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65A1F375" w14:textId="468F3CEC"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PRODVEGE</w:t>
            </w:r>
          </w:p>
        </w:tc>
        <w:tc>
          <w:tcPr>
            <w:tcW w:w="1875" w:type="dxa"/>
            <w:tcBorders>
              <w:top w:val="nil"/>
              <w:left w:val="nil"/>
              <w:bottom w:val="nil"/>
              <w:right w:val="nil"/>
            </w:tcBorders>
          </w:tcPr>
          <w:p w14:paraId="6EAB7B10" w14:textId="5014B5B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GDCULT</w:t>
            </w:r>
          </w:p>
        </w:tc>
        <w:tc>
          <w:tcPr>
            <w:tcW w:w="4220" w:type="dxa"/>
            <w:tcBorders>
              <w:top w:val="nil"/>
              <w:left w:val="nil"/>
              <w:bottom w:val="nil"/>
              <w:right w:val="nil"/>
            </w:tcBorders>
          </w:tcPr>
          <w:p w14:paraId="2CDBF633" w14:textId="44139FA0" w:rsidR="47EEDD1A" w:rsidRDefault="53B24E25" w:rsidP="78C8608F">
            <w:pPr>
              <w:jc w:val="left"/>
              <w:rPr>
                <w:rFonts w:eastAsia="Source Sans Pro Light" w:cs="Source Sans Pro Light"/>
                <w:color w:val="000000" w:themeColor="text1"/>
              </w:rPr>
            </w:pPr>
            <w:r w:rsidRPr="78C8608F">
              <w:rPr>
                <w:rFonts w:eastAsia="Source Sans Pro Light" w:cs="Source Sans Pro Light"/>
                <w:color w:val="000000" w:themeColor="text1"/>
              </w:rPr>
              <w:t>Grandes cultures</w:t>
            </w:r>
          </w:p>
        </w:tc>
      </w:tr>
      <w:tr w:rsidR="485F256B" w14:paraId="7B8F711A" w14:textId="77777777" w:rsidTr="78C8608F">
        <w:trPr>
          <w:trHeight w:val="285"/>
        </w:trPr>
        <w:tc>
          <w:tcPr>
            <w:tcW w:w="1860" w:type="dxa"/>
            <w:tcBorders>
              <w:top w:val="nil"/>
              <w:left w:val="nil"/>
              <w:bottom w:val="nil"/>
              <w:right w:val="nil"/>
            </w:tcBorders>
          </w:tcPr>
          <w:p w14:paraId="7F1D544D" w14:textId="19B2247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2F9E5D54" w14:textId="4C4B167D"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PRODVEGE</w:t>
            </w:r>
          </w:p>
        </w:tc>
        <w:tc>
          <w:tcPr>
            <w:tcW w:w="1875" w:type="dxa"/>
            <w:tcBorders>
              <w:top w:val="nil"/>
              <w:left w:val="nil"/>
              <w:bottom w:val="nil"/>
              <w:right w:val="nil"/>
            </w:tcBorders>
          </w:tcPr>
          <w:p w14:paraId="0DC34C22" w14:textId="7B976C0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SUCR</w:t>
            </w:r>
          </w:p>
        </w:tc>
        <w:tc>
          <w:tcPr>
            <w:tcW w:w="4220" w:type="dxa"/>
            <w:tcBorders>
              <w:top w:val="nil"/>
              <w:left w:val="nil"/>
              <w:bottom w:val="nil"/>
              <w:right w:val="nil"/>
            </w:tcBorders>
          </w:tcPr>
          <w:p w14:paraId="6F0B0327" w14:textId="48A2A1DA" w:rsidR="47EEDD1A" w:rsidRDefault="154FEBDE" w:rsidP="78C8608F">
            <w:pPr>
              <w:jc w:val="left"/>
              <w:rPr>
                <w:rFonts w:eastAsia="Source Sans Pro Light" w:cs="Source Sans Pro Light"/>
                <w:color w:val="000000" w:themeColor="text1"/>
              </w:rPr>
            </w:pPr>
            <w:r w:rsidRPr="78C8608F">
              <w:rPr>
                <w:rFonts w:eastAsia="Source Sans Pro Light" w:cs="Source Sans Pro Light"/>
                <w:color w:val="000000" w:themeColor="text1"/>
              </w:rPr>
              <w:t>Sucre de canne</w:t>
            </w:r>
          </w:p>
        </w:tc>
      </w:tr>
      <w:tr w:rsidR="485F256B" w14:paraId="7F5C1146" w14:textId="77777777" w:rsidTr="78C8608F">
        <w:trPr>
          <w:trHeight w:val="285"/>
        </w:trPr>
        <w:tc>
          <w:tcPr>
            <w:tcW w:w="1860" w:type="dxa"/>
            <w:tcBorders>
              <w:top w:val="nil"/>
              <w:left w:val="nil"/>
              <w:bottom w:val="nil"/>
              <w:right w:val="nil"/>
            </w:tcBorders>
          </w:tcPr>
          <w:p w14:paraId="6DD3AEB6" w14:textId="489CF00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6EE28E9D" w14:textId="1AAE1BC7"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PRODVEGE</w:t>
            </w:r>
          </w:p>
        </w:tc>
        <w:tc>
          <w:tcPr>
            <w:tcW w:w="1875" w:type="dxa"/>
            <w:tcBorders>
              <w:top w:val="nil"/>
              <w:left w:val="nil"/>
              <w:bottom w:val="nil"/>
              <w:right w:val="nil"/>
            </w:tcBorders>
          </w:tcPr>
          <w:p w14:paraId="25F1EA50" w14:textId="6B570DA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VITIVINI</w:t>
            </w:r>
          </w:p>
        </w:tc>
        <w:tc>
          <w:tcPr>
            <w:tcW w:w="4220" w:type="dxa"/>
            <w:tcBorders>
              <w:top w:val="nil"/>
              <w:left w:val="nil"/>
              <w:bottom w:val="nil"/>
              <w:right w:val="nil"/>
            </w:tcBorders>
          </w:tcPr>
          <w:p w14:paraId="2FB9193C" w14:textId="400EBBA6" w:rsidR="47EEDD1A" w:rsidRDefault="3797FF1F" w:rsidP="78C8608F">
            <w:pPr>
              <w:jc w:val="left"/>
              <w:rPr>
                <w:rFonts w:eastAsia="Source Sans Pro Light" w:cs="Source Sans Pro Light"/>
                <w:color w:val="000000" w:themeColor="text1"/>
              </w:rPr>
            </w:pPr>
            <w:r w:rsidRPr="78C8608F">
              <w:rPr>
                <w:rFonts w:eastAsia="Source Sans Pro Light" w:cs="Source Sans Pro Light"/>
                <w:color w:val="000000" w:themeColor="text1"/>
              </w:rPr>
              <w:t>Viticulture et viniculture</w:t>
            </w:r>
          </w:p>
        </w:tc>
      </w:tr>
      <w:tr w:rsidR="78C8608F" w14:paraId="5BC90416" w14:textId="77777777" w:rsidTr="78C8608F">
        <w:trPr>
          <w:trHeight w:val="285"/>
        </w:trPr>
        <w:tc>
          <w:tcPr>
            <w:tcW w:w="1860" w:type="dxa"/>
            <w:tcBorders>
              <w:top w:val="nil"/>
              <w:left w:val="nil"/>
              <w:bottom w:val="nil"/>
              <w:right w:val="nil"/>
            </w:tcBorders>
          </w:tcPr>
          <w:p w14:paraId="57B65A88" w14:textId="562065A5"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50FBA335" w14:textId="45E2EA3B"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PRODVEGE</w:t>
            </w:r>
          </w:p>
        </w:tc>
        <w:tc>
          <w:tcPr>
            <w:tcW w:w="1875" w:type="dxa"/>
            <w:tcBorders>
              <w:top w:val="nil"/>
              <w:left w:val="nil"/>
              <w:bottom w:val="nil"/>
              <w:right w:val="nil"/>
            </w:tcBorders>
          </w:tcPr>
          <w:p w14:paraId="721FF257" w14:textId="51AE5162"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DD3A737" w14:textId="4B7DE881" w:rsidR="5E38F085" w:rsidRDefault="5E38F085"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Production végétale - Mixte</w:t>
            </w:r>
          </w:p>
        </w:tc>
      </w:tr>
      <w:tr w:rsidR="485F256B" w14:paraId="278AA247" w14:textId="77777777" w:rsidTr="78C8608F">
        <w:trPr>
          <w:trHeight w:val="285"/>
        </w:trPr>
        <w:tc>
          <w:tcPr>
            <w:tcW w:w="1860" w:type="dxa"/>
            <w:tcBorders>
              <w:top w:val="nil"/>
              <w:left w:val="nil"/>
              <w:bottom w:val="nil"/>
              <w:right w:val="nil"/>
            </w:tcBorders>
          </w:tcPr>
          <w:p w14:paraId="6FF1D1A1" w14:textId="1D62F9AE"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PRODAGRI</w:t>
            </w:r>
          </w:p>
        </w:tc>
        <w:tc>
          <w:tcPr>
            <w:tcW w:w="1815" w:type="dxa"/>
            <w:tcBorders>
              <w:top w:val="nil"/>
              <w:left w:val="nil"/>
              <w:bottom w:val="nil"/>
              <w:right w:val="nil"/>
            </w:tcBorders>
          </w:tcPr>
          <w:p w14:paraId="3E016DDD" w14:textId="282B6A3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7B3F7B13" w14:textId="466C9BF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8443188" w14:textId="09A71125" w:rsidR="47EEDD1A" w:rsidRDefault="2C00BBC6"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Production agricole - Mixte</w:t>
            </w:r>
          </w:p>
        </w:tc>
      </w:tr>
      <w:tr w:rsidR="485F256B" w14:paraId="5A853E04" w14:textId="77777777" w:rsidTr="78C8608F">
        <w:trPr>
          <w:trHeight w:val="285"/>
        </w:trPr>
        <w:tc>
          <w:tcPr>
            <w:tcW w:w="1860" w:type="dxa"/>
            <w:tcBorders>
              <w:top w:val="nil"/>
              <w:left w:val="nil"/>
              <w:bottom w:val="nil"/>
              <w:right w:val="nil"/>
            </w:tcBorders>
          </w:tcPr>
          <w:p w14:paraId="3620EAC6" w14:textId="77B22D7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PECHAQUA</w:t>
            </w:r>
          </w:p>
        </w:tc>
        <w:tc>
          <w:tcPr>
            <w:tcW w:w="1815" w:type="dxa"/>
            <w:tcBorders>
              <w:top w:val="nil"/>
              <w:left w:val="nil"/>
              <w:bottom w:val="nil"/>
              <w:right w:val="nil"/>
            </w:tcBorders>
          </w:tcPr>
          <w:p w14:paraId="582D168D" w14:textId="414FCFD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AQUACULT</w:t>
            </w:r>
          </w:p>
        </w:tc>
        <w:tc>
          <w:tcPr>
            <w:tcW w:w="1875" w:type="dxa"/>
            <w:tcBorders>
              <w:top w:val="nil"/>
              <w:left w:val="nil"/>
              <w:bottom w:val="nil"/>
              <w:right w:val="nil"/>
            </w:tcBorders>
          </w:tcPr>
          <w:p w14:paraId="6307013C" w14:textId="716F96FD"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SURVEILLANCE</w:t>
            </w:r>
          </w:p>
        </w:tc>
        <w:tc>
          <w:tcPr>
            <w:tcW w:w="4220" w:type="dxa"/>
            <w:tcBorders>
              <w:top w:val="nil"/>
              <w:left w:val="nil"/>
              <w:bottom w:val="nil"/>
              <w:right w:val="nil"/>
            </w:tcBorders>
          </w:tcPr>
          <w:p w14:paraId="19184EEA" w14:textId="667D80C8" w:rsidR="47EEDD1A" w:rsidRDefault="58F85200" w:rsidP="78C8608F">
            <w:pPr>
              <w:jc w:val="left"/>
              <w:rPr>
                <w:rFonts w:eastAsia="Source Sans Pro Light" w:cs="Source Sans Pro Light"/>
                <w:color w:val="000000" w:themeColor="text1"/>
              </w:rPr>
            </w:pPr>
            <w:r w:rsidRPr="78C8608F">
              <w:rPr>
                <w:rFonts w:eastAsia="Source Sans Pro Light" w:cs="Source Sans Pro Light"/>
                <w:color w:val="000000" w:themeColor="text1"/>
              </w:rPr>
              <w:t>Surveillance sanitaire aquaculture</w:t>
            </w:r>
          </w:p>
        </w:tc>
      </w:tr>
      <w:tr w:rsidR="485F256B" w14:paraId="1D4190C1" w14:textId="77777777" w:rsidTr="78C8608F">
        <w:trPr>
          <w:trHeight w:val="285"/>
        </w:trPr>
        <w:tc>
          <w:tcPr>
            <w:tcW w:w="1860" w:type="dxa"/>
            <w:tcBorders>
              <w:top w:val="nil"/>
              <w:left w:val="nil"/>
              <w:bottom w:val="nil"/>
              <w:right w:val="nil"/>
            </w:tcBorders>
          </w:tcPr>
          <w:p w14:paraId="47B5B4A0" w14:textId="2DA1F6A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PECHAQUA</w:t>
            </w:r>
          </w:p>
        </w:tc>
        <w:tc>
          <w:tcPr>
            <w:tcW w:w="1815" w:type="dxa"/>
            <w:tcBorders>
              <w:top w:val="nil"/>
              <w:left w:val="nil"/>
              <w:bottom w:val="nil"/>
              <w:right w:val="nil"/>
            </w:tcBorders>
          </w:tcPr>
          <w:p w14:paraId="48B52EBA" w14:textId="5267CE1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PECHE</w:t>
            </w:r>
          </w:p>
        </w:tc>
        <w:tc>
          <w:tcPr>
            <w:tcW w:w="1875" w:type="dxa"/>
            <w:tcBorders>
              <w:top w:val="nil"/>
              <w:left w:val="nil"/>
              <w:bottom w:val="nil"/>
              <w:right w:val="nil"/>
            </w:tcBorders>
          </w:tcPr>
          <w:p w14:paraId="13944C66" w14:textId="29CB9D9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3B9CD0F6" w14:textId="6AB990DB" w:rsidR="47EEDD1A" w:rsidRDefault="56898D36"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Pêche - Mixte</w:t>
            </w:r>
          </w:p>
        </w:tc>
      </w:tr>
      <w:tr w:rsidR="485F256B" w14:paraId="4444C407" w14:textId="77777777" w:rsidTr="78C8608F">
        <w:trPr>
          <w:trHeight w:val="285"/>
        </w:trPr>
        <w:tc>
          <w:tcPr>
            <w:tcW w:w="1860" w:type="dxa"/>
            <w:tcBorders>
              <w:top w:val="nil"/>
              <w:left w:val="nil"/>
              <w:bottom w:val="nil"/>
              <w:right w:val="nil"/>
            </w:tcBorders>
          </w:tcPr>
          <w:p w14:paraId="40DCB6D3" w14:textId="70334FF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PECHAQUA</w:t>
            </w:r>
          </w:p>
        </w:tc>
        <w:tc>
          <w:tcPr>
            <w:tcW w:w="1815" w:type="dxa"/>
            <w:tcBorders>
              <w:top w:val="nil"/>
              <w:left w:val="nil"/>
              <w:bottom w:val="nil"/>
              <w:right w:val="nil"/>
            </w:tcBorders>
          </w:tcPr>
          <w:p w14:paraId="175B17F5" w14:textId="60A4F06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PECHE</w:t>
            </w:r>
          </w:p>
        </w:tc>
        <w:tc>
          <w:tcPr>
            <w:tcW w:w="1875" w:type="dxa"/>
            <w:tcBorders>
              <w:top w:val="nil"/>
              <w:left w:val="nil"/>
              <w:bottom w:val="nil"/>
              <w:right w:val="nil"/>
            </w:tcBorders>
          </w:tcPr>
          <w:p w14:paraId="663A1DF9" w14:textId="0CE5F94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SURVEILLANCE</w:t>
            </w:r>
          </w:p>
        </w:tc>
        <w:tc>
          <w:tcPr>
            <w:tcW w:w="4220" w:type="dxa"/>
            <w:tcBorders>
              <w:top w:val="nil"/>
              <w:left w:val="nil"/>
              <w:bottom w:val="nil"/>
              <w:right w:val="nil"/>
            </w:tcBorders>
          </w:tcPr>
          <w:p w14:paraId="6E9F9A4B" w14:textId="6F4A3217" w:rsidR="47EEDD1A" w:rsidRDefault="1A46FAC9" w:rsidP="78C8608F">
            <w:pPr>
              <w:jc w:val="left"/>
              <w:rPr>
                <w:rFonts w:eastAsia="Source Sans Pro Light" w:cs="Source Sans Pro Light"/>
                <w:color w:val="000000" w:themeColor="text1"/>
              </w:rPr>
            </w:pPr>
            <w:r w:rsidRPr="78C8608F">
              <w:rPr>
                <w:rFonts w:eastAsia="Source Sans Pro Light" w:cs="Source Sans Pro Light"/>
                <w:color w:val="000000" w:themeColor="text1"/>
              </w:rPr>
              <w:t>Surveillance des pêches</w:t>
            </w:r>
          </w:p>
        </w:tc>
      </w:tr>
      <w:tr w:rsidR="485F256B" w14:paraId="2FBACEEE" w14:textId="77777777" w:rsidTr="78C8608F">
        <w:trPr>
          <w:trHeight w:val="285"/>
        </w:trPr>
        <w:tc>
          <w:tcPr>
            <w:tcW w:w="1860" w:type="dxa"/>
            <w:tcBorders>
              <w:top w:val="nil"/>
              <w:left w:val="nil"/>
              <w:bottom w:val="nil"/>
              <w:right w:val="nil"/>
            </w:tcBorders>
          </w:tcPr>
          <w:p w14:paraId="100ABF0C" w14:textId="6190C95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PECHAQUA</w:t>
            </w:r>
          </w:p>
        </w:tc>
        <w:tc>
          <w:tcPr>
            <w:tcW w:w="1815" w:type="dxa"/>
            <w:tcBorders>
              <w:top w:val="nil"/>
              <w:left w:val="nil"/>
              <w:bottom w:val="nil"/>
              <w:right w:val="nil"/>
            </w:tcBorders>
          </w:tcPr>
          <w:p w14:paraId="21244E90" w14:textId="7142BCDD"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19E245DE" w14:textId="768AB9C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42A0DB94" w14:textId="22EF4636" w:rsidR="47EEDD1A" w:rsidRDefault="6D19CB7B" w:rsidP="78C8608F">
            <w:pPr>
              <w:jc w:val="left"/>
              <w:rPr>
                <w:rFonts w:eastAsia="Source Sans Pro Light" w:cs="Source Sans Pro Light"/>
                <w:color w:val="000000" w:themeColor="text1"/>
              </w:rPr>
            </w:pPr>
            <w:r w:rsidRPr="78C8608F">
              <w:rPr>
                <w:rFonts w:eastAsia="Source Sans Pro Light" w:cs="Source Sans Pro Light"/>
                <w:color w:val="000000" w:themeColor="text1"/>
              </w:rPr>
              <w:t>Pêche et aquaculture - Mixte</w:t>
            </w:r>
          </w:p>
        </w:tc>
      </w:tr>
      <w:tr w:rsidR="485F256B" w14:paraId="14073F00" w14:textId="77777777" w:rsidTr="78C8608F">
        <w:trPr>
          <w:trHeight w:val="285"/>
        </w:trPr>
        <w:tc>
          <w:tcPr>
            <w:tcW w:w="1860" w:type="dxa"/>
            <w:tcBorders>
              <w:top w:val="nil"/>
              <w:left w:val="nil"/>
              <w:bottom w:val="nil"/>
              <w:right w:val="nil"/>
            </w:tcBorders>
          </w:tcPr>
          <w:p w14:paraId="41BA7BE0" w14:textId="25A89B4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TRANSFO</w:t>
            </w:r>
          </w:p>
        </w:tc>
        <w:tc>
          <w:tcPr>
            <w:tcW w:w="1815" w:type="dxa"/>
            <w:tcBorders>
              <w:top w:val="nil"/>
              <w:left w:val="nil"/>
              <w:bottom w:val="nil"/>
              <w:right w:val="nil"/>
            </w:tcBorders>
          </w:tcPr>
          <w:p w14:paraId="735ACD2C" w14:textId="4ABD573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ABATTOIR</w:t>
            </w:r>
          </w:p>
        </w:tc>
        <w:tc>
          <w:tcPr>
            <w:tcW w:w="1875" w:type="dxa"/>
            <w:tcBorders>
              <w:top w:val="nil"/>
              <w:left w:val="nil"/>
              <w:bottom w:val="nil"/>
              <w:right w:val="nil"/>
            </w:tcBorders>
          </w:tcPr>
          <w:p w14:paraId="165152CD" w14:textId="73144B5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7A1D5FC3" w14:textId="071A1235" w:rsidR="47EEDD1A" w:rsidRDefault="2B8AA1DE" w:rsidP="78C8608F">
            <w:pPr>
              <w:jc w:val="left"/>
              <w:rPr>
                <w:rFonts w:eastAsia="Source Sans Pro Light" w:cs="Source Sans Pro Light"/>
                <w:color w:val="000000" w:themeColor="text1"/>
              </w:rPr>
            </w:pPr>
            <w:r w:rsidRPr="78C8608F">
              <w:rPr>
                <w:rFonts w:eastAsia="Source Sans Pro Light" w:cs="Source Sans Pro Light"/>
                <w:color w:val="000000" w:themeColor="text1"/>
              </w:rPr>
              <w:t>Abattoirs</w:t>
            </w:r>
          </w:p>
        </w:tc>
      </w:tr>
      <w:tr w:rsidR="485F256B" w14:paraId="33AE6F10" w14:textId="77777777" w:rsidTr="78C8608F">
        <w:trPr>
          <w:trHeight w:val="285"/>
        </w:trPr>
        <w:tc>
          <w:tcPr>
            <w:tcW w:w="1860" w:type="dxa"/>
            <w:tcBorders>
              <w:top w:val="nil"/>
              <w:left w:val="nil"/>
              <w:bottom w:val="nil"/>
              <w:right w:val="nil"/>
            </w:tcBorders>
          </w:tcPr>
          <w:p w14:paraId="704A93E1" w14:textId="6A3F351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TRANSFO</w:t>
            </w:r>
          </w:p>
        </w:tc>
        <w:tc>
          <w:tcPr>
            <w:tcW w:w="1815" w:type="dxa"/>
            <w:tcBorders>
              <w:top w:val="nil"/>
              <w:left w:val="nil"/>
              <w:bottom w:val="nil"/>
              <w:right w:val="nil"/>
            </w:tcBorders>
          </w:tcPr>
          <w:p w14:paraId="019B001E" w14:textId="789D1692"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COLLECTSTOCK</w:t>
            </w:r>
          </w:p>
        </w:tc>
        <w:tc>
          <w:tcPr>
            <w:tcW w:w="1875" w:type="dxa"/>
            <w:tcBorders>
              <w:top w:val="nil"/>
              <w:left w:val="nil"/>
              <w:bottom w:val="nil"/>
              <w:right w:val="nil"/>
            </w:tcBorders>
          </w:tcPr>
          <w:p w14:paraId="28372E95" w14:textId="01BFEAE1"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29968C0A" w14:textId="6EA43B78" w:rsidR="47EEDD1A" w:rsidRDefault="76D7A3BD" w:rsidP="78C8608F">
            <w:pPr>
              <w:jc w:val="left"/>
              <w:rPr>
                <w:rFonts w:eastAsia="Source Sans Pro Light" w:cs="Source Sans Pro Light"/>
                <w:color w:val="000000" w:themeColor="text1"/>
              </w:rPr>
            </w:pPr>
            <w:r w:rsidRPr="78C8608F">
              <w:rPr>
                <w:rFonts w:eastAsia="Source Sans Pro Light" w:cs="Source Sans Pro Light"/>
                <w:color w:val="000000" w:themeColor="text1"/>
              </w:rPr>
              <w:t>Collecte et stockage</w:t>
            </w:r>
          </w:p>
        </w:tc>
      </w:tr>
      <w:tr w:rsidR="485F256B" w14:paraId="2284E10B" w14:textId="77777777" w:rsidTr="78C8608F">
        <w:trPr>
          <w:trHeight w:val="285"/>
        </w:trPr>
        <w:tc>
          <w:tcPr>
            <w:tcW w:w="1860" w:type="dxa"/>
            <w:tcBorders>
              <w:top w:val="nil"/>
              <w:left w:val="nil"/>
              <w:bottom w:val="nil"/>
              <w:right w:val="nil"/>
            </w:tcBorders>
          </w:tcPr>
          <w:p w14:paraId="66B52C9E" w14:textId="68B255D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TRANSFO</w:t>
            </w:r>
          </w:p>
        </w:tc>
        <w:tc>
          <w:tcPr>
            <w:tcW w:w="1815" w:type="dxa"/>
            <w:tcBorders>
              <w:top w:val="nil"/>
              <w:left w:val="nil"/>
              <w:bottom w:val="nil"/>
              <w:right w:val="nil"/>
            </w:tcBorders>
          </w:tcPr>
          <w:p w14:paraId="3616C732" w14:textId="4548809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COOP</w:t>
            </w:r>
          </w:p>
        </w:tc>
        <w:tc>
          <w:tcPr>
            <w:tcW w:w="1875" w:type="dxa"/>
            <w:tcBorders>
              <w:top w:val="nil"/>
              <w:left w:val="nil"/>
              <w:bottom w:val="nil"/>
              <w:right w:val="nil"/>
            </w:tcBorders>
          </w:tcPr>
          <w:p w14:paraId="7008E34E" w14:textId="376B4D87"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46033055" w14:textId="7B22BD8A" w:rsidR="47EEDD1A" w:rsidRDefault="3FD01D13" w:rsidP="78C8608F">
            <w:pPr>
              <w:jc w:val="left"/>
              <w:rPr>
                <w:rFonts w:eastAsia="Source Sans Pro Light" w:cs="Source Sans Pro Light"/>
                <w:color w:val="000000" w:themeColor="text1"/>
              </w:rPr>
            </w:pPr>
            <w:r w:rsidRPr="78C8608F">
              <w:rPr>
                <w:rFonts w:eastAsia="Source Sans Pro Light" w:cs="Source Sans Pro Light"/>
                <w:color w:val="000000" w:themeColor="text1"/>
              </w:rPr>
              <w:t>Coopératives</w:t>
            </w:r>
          </w:p>
        </w:tc>
      </w:tr>
      <w:tr w:rsidR="485F256B" w14:paraId="43CBFAA6" w14:textId="77777777" w:rsidTr="78C8608F">
        <w:trPr>
          <w:trHeight w:val="285"/>
        </w:trPr>
        <w:tc>
          <w:tcPr>
            <w:tcW w:w="1860" w:type="dxa"/>
            <w:tcBorders>
              <w:top w:val="nil"/>
              <w:left w:val="nil"/>
              <w:bottom w:val="nil"/>
              <w:right w:val="nil"/>
            </w:tcBorders>
          </w:tcPr>
          <w:p w14:paraId="52279035" w14:textId="16A661C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TRANSFO</w:t>
            </w:r>
          </w:p>
        </w:tc>
        <w:tc>
          <w:tcPr>
            <w:tcW w:w="1815" w:type="dxa"/>
            <w:tcBorders>
              <w:top w:val="nil"/>
              <w:left w:val="nil"/>
              <w:bottom w:val="nil"/>
              <w:right w:val="nil"/>
            </w:tcBorders>
          </w:tcPr>
          <w:p w14:paraId="55657EE7" w14:textId="45C0EAFC"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TSPRT</w:t>
            </w:r>
          </w:p>
        </w:tc>
        <w:tc>
          <w:tcPr>
            <w:tcW w:w="1875" w:type="dxa"/>
            <w:tcBorders>
              <w:top w:val="nil"/>
              <w:left w:val="nil"/>
              <w:bottom w:val="nil"/>
              <w:right w:val="nil"/>
            </w:tcBorders>
          </w:tcPr>
          <w:p w14:paraId="511852A9" w14:textId="19E7553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5387D64F" w14:textId="4D8AA141" w:rsidR="47EEDD1A" w:rsidRDefault="1931E13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Transports</w:t>
            </w:r>
          </w:p>
        </w:tc>
      </w:tr>
      <w:tr w:rsidR="485F256B" w14:paraId="5779ED6C" w14:textId="77777777" w:rsidTr="78C8608F">
        <w:trPr>
          <w:trHeight w:val="285"/>
        </w:trPr>
        <w:tc>
          <w:tcPr>
            <w:tcW w:w="1860" w:type="dxa"/>
            <w:tcBorders>
              <w:top w:val="nil"/>
              <w:left w:val="nil"/>
              <w:bottom w:val="nil"/>
              <w:right w:val="nil"/>
            </w:tcBorders>
          </w:tcPr>
          <w:p w14:paraId="59351F63" w14:textId="77DD869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TRANSFO</w:t>
            </w:r>
          </w:p>
        </w:tc>
        <w:tc>
          <w:tcPr>
            <w:tcW w:w="1815" w:type="dxa"/>
            <w:tcBorders>
              <w:top w:val="nil"/>
              <w:left w:val="nil"/>
              <w:bottom w:val="nil"/>
              <w:right w:val="nil"/>
            </w:tcBorders>
          </w:tcPr>
          <w:p w14:paraId="089AF63A" w14:textId="6901664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22E0B63C" w14:textId="3D6BAEC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0F33424" w14:textId="36FD2618" w:rsidR="47EEDD1A" w:rsidRDefault="7FDDEC1A" w:rsidP="78C8608F">
            <w:pPr>
              <w:jc w:val="left"/>
              <w:rPr>
                <w:rFonts w:eastAsia="Source Sans Pro Light" w:cs="Source Sans Pro Light"/>
                <w:color w:val="000000" w:themeColor="text1"/>
              </w:rPr>
            </w:pPr>
            <w:r w:rsidRPr="78C8608F">
              <w:rPr>
                <w:rFonts w:eastAsia="Source Sans Pro Light" w:cs="Source Sans Pro Light"/>
                <w:color w:val="000000" w:themeColor="text1"/>
              </w:rPr>
              <w:t>Transformation alimentaire - Mixte</w:t>
            </w:r>
          </w:p>
        </w:tc>
      </w:tr>
      <w:tr w:rsidR="485F256B" w14:paraId="04555B22" w14:textId="77777777" w:rsidTr="78C8608F">
        <w:trPr>
          <w:trHeight w:val="285"/>
        </w:trPr>
        <w:tc>
          <w:tcPr>
            <w:tcW w:w="1860" w:type="dxa"/>
            <w:tcBorders>
              <w:top w:val="nil"/>
              <w:left w:val="nil"/>
              <w:bottom w:val="nil"/>
              <w:right w:val="nil"/>
            </w:tcBorders>
          </w:tcPr>
          <w:p w14:paraId="3584946C" w14:textId="6C6216A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DISTRIB</w:t>
            </w:r>
          </w:p>
        </w:tc>
        <w:tc>
          <w:tcPr>
            <w:tcW w:w="1815" w:type="dxa"/>
            <w:tcBorders>
              <w:top w:val="nil"/>
              <w:left w:val="nil"/>
              <w:bottom w:val="nil"/>
              <w:right w:val="nil"/>
            </w:tcBorders>
          </w:tcPr>
          <w:p w14:paraId="29DE2050" w14:textId="52F71DF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15711049" w14:textId="00A07C4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B0FD103" w14:textId="4CF54765" w:rsidR="47EEDD1A" w:rsidRDefault="569C865E" w:rsidP="78C8608F">
            <w:pPr>
              <w:jc w:val="left"/>
              <w:rPr>
                <w:rFonts w:eastAsia="Source Sans Pro Light" w:cs="Source Sans Pro Light"/>
                <w:color w:val="000000" w:themeColor="text1"/>
              </w:rPr>
            </w:pPr>
            <w:r w:rsidRPr="78C8608F">
              <w:rPr>
                <w:rFonts w:eastAsia="Source Sans Pro Light" w:cs="Source Sans Pro Light"/>
                <w:color w:val="000000" w:themeColor="text1"/>
              </w:rPr>
              <w:t>Distribution alimentaire - Mixte</w:t>
            </w:r>
          </w:p>
        </w:tc>
      </w:tr>
      <w:tr w:rsidR="485F256B" w14:paraId="3B6AE2D1" w14:textId="77777777" w:rsidTr="78C8608F">
        <w:trPr>
          <w:trHeight w:val="285"/>
        </w:trPr>
        <w:tc>
          <w:tcPr>
            <w:tcW w:w="1860" w:type="dxa"/>
            <w:tcBorders>
              <w:top w:val="nil"/>
              <w:left w:val="nil"/>
              <w:bottom w:val="nil"/>
              <w:right w:val="nil"/>
            </w:tcBorders>
          </w:tcPr>
          <w:p w14:paraId="07CF5DBE" w14:textId="565176E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RHD</w:t>
            </w:r>
          </w:p>
        </w:tc>
        <w:tc>
          <w:tcPr>
            <w:tcW w:w="1815" w:type="dxa"/>
            <w:tcBorders>
              <w:top w:val="nil"/>
              <w:left w:val="nil"/>
              <w:bottom w:val="nil"/>
              <w:right w:val="nil"/>
            </w:tcBorders>
          </w:tcPr>
          <w:p w14:paraId="095E12F8" w14:textId="27E36BF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RESTOCOL</w:t>
            </w:r>
          </w:p>
        </w:tc>
        <w:tc>
          <w:tcPr>
            <w:tcW w:w="1875" w:type="dxa"/>
            <w:tcBorders>
              <w:top w:val="nil"/>
              <w:left w:val="nil"/>
              <w:bottom w:val="nil"/>
              <w:right w:val="nil"/>
            </w:tcBorders>
          </w:tcPr>
          <w:p w14:paraId="4059451F" w14:textId="73E5A6B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4FE1AE5E" w14:textId="6D6FFE67" w:rsidR="47EEDD1A" w:rsidRDefault="6FEE065D" w:rsidP="78C8608F">
            <w:pPr>
              <w:jc w:val="left"/>
              <w:rPr>
                <w:rFonts w:eastAsia="Source Sans Pro Light" w:cs="Source Sans Pro Light"/>
                <w:color w:val="000000" w:themeColor="text1"/>
              </w:rPr>
            </w:pPr>
            <w:r w:rsidRPr="78C8608F">
              <w:rPr>
                <w:rFonts w:eastAsia="Source Sans Pro Light" w:cs="Source Sans Pro Light"/>
                <w:color w:val="000000" w:themeColor="text1"/>
              </w:rPr>
              <w:t>Restauration collective</w:t>
            </w:r>
          </w:p>
        </w:tc>
      </w:tr>
      <w:tr w:rsidR="485F256B" w14:paraId="7C0F7986" w14:textId="77777777" w:rsidTr="78C8608F">
        <w:trPr>
          <w:trHeight w:val="285"/>
        </w:trPr>
        <w:tc>
          <w:tcPr>
            <w:tcW w:w="1860" w:type="dxa"/>
            <w:tcBorders>
              <w:top w:val="nil"/>
              <w:left w:val="nil"/>
              <w:bottom w:val="nil"/>
              <w:right w:val="nil"/>
            </w:tcBorders>
          </w:tcPr>
          <w:p w14:paraId="49B88424" w14:textId="6038C7A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RHD</w:t>
            </w:r>
          </w:p>
        </w:tc>
        <w:tc>
          <w:tcPr>
            <w:tcW w:w="1815" w:type="dxa"/>
            <w:tcBorders>
              <w:top w:val="nil"/>
              <w:left w:val="nil"/>
              <w:bottom w:val="nil"/>
              <w:right w:val="nil"/>
            </w:tcBorders>
          </w:tcPr>
          <w:p w14:paraId="460C5F9A" w14:textId="1F56C51D"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RESTOCOM</w:t>
            </w:r>
          </w:p>
        </w:tc>
        <w:tc>
          <w:tcPr>
            <w:tcW w:w="1875" w:type="dxa"/>
            <w:tcBorders>
              <w:top w:val="nil"/>
              <w:left w:val="nil"/>
              <w:bottom w:val="nil"/>
              <w:right w:val="nil"/>
            </w:tcBorders>
          </w:tcPr>
          <w:p w14:paraId="763B24D0" w14:textId="231A1B9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1F5FA849" w14:textId="1A181E75" w:rsidR="47EEDD1A" w:rsidRDefault="3FF8000B" w:rsidP="78C8608F">
            <w:pPr>
              <w:jc w:val="left"/>
              <w:rPr>
                <w:rFonts w:eastAsia="Source Sans Pro Light" w:cs="Source Sans Pro Light"/>
                <w:color w:val="000000" w:themeColor="text1"/>
              </w:rPr>
            </w:pPr>
            <w:r w:rsidRPr="78C8608F">
              <w:rPr>
                <w:rFonts w:eastAsia="Source Sans Pro Light" w:cs="Source Sans Pro Light"/>
                <w:color w:val="000000" w:themeColor="text1"/>
              </w:rPr>
              <w:t>Restauration commerciale</w:t>
            </w:r>
          </w:p>
        </w:tc>
      </w:tr>
      <w:tr w:rsidR="485F256B" w14:paraId="32E98BEB" w14:textId="77777777" w:rsidTr="78C8608F">
        <w:trPr>
          <w:trHeight w:val="285"/>
        </w:trPr>
        <w:tc>
          <w:tcPr>
            <w:tcW w:w="1860" w:type="dxa"/>
            <w:tcBorders>
              <w:top w:val="nil"/>
              <w:left w:val="nil"/>
              <w:bottom w:val="nil"/>
              <w:right w:val="nil"/>
            </w:tcBorders>
          </w:tcPr>
          <w:p w14:paraId="26FAD330" w14:textId="0605F6D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lastRenderedPageBreak/>
              <w:t>RHD</w:t>
            </w:r>
          </w:p>
        </w:tc>
        <w:tc>
          <w:tcPr>
            <w:tcW w:w="1815" w:type="dxa"/>
            <w:tcBorders>
              <w:top w:val="nil"/>
              <w:left w:val="nil"/>
              <w:bottom w:val="nil"/>
              <w:right w:val="nil"/>
            </w:tcBorders>
          </w:tcPr>
          <w:p w14:paraId="4AF7D7F5" w14:textId="7733EE1C"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5C900258" w14:textId="234CFEC2"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510E947B" w14:textId="61776B3B" w:rsidR="47EEDD1A" w:rsidRDefault="34160BB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Restauration hors domicile - Mixte</w:t>
            </w:r>
          </w:p>
        </w:tc>
      </w:tr>
      <w:tr w:rsidR="485F256B" w14:paraId="5725EC33" w14:textId="77777777" w:rsidTr="78C8608F">
        <w:trPr>
          <w:trHeight w:val="285"/>
        </w:trPr>
        <w:tc>
          <w:tcPr>
            <w:tcW w:w="1860" w:type="dxa"/>
            <w:tcBorders>
              <w:top w:val="nil"/>
              <w:left w:val="nil"/>
              <w:bottom w:val="nil"/>
              <w:right w:val="nil"/>
            </w:tcBorders>
          </w:tcPr>
          <w:p w14:paraId="7D3981E2" w14:textId="082932C2"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CONSO</w:t>
            </w:r>
          </w:p>
        </w:tc>
        <w:tc>
          <w:tcPr>
            <w:tcW w:w="1815" w:type="dxa"/>
            <w:tcBorders>
              <w:top w:val="nil"/>
              <w:left w:val="nil"/>
              <w:bottom w:val="nil"/>
              <w:right w:val="nil"/>
            </w:tcBorders>
          </w:tcPr>
          <w:p w14:paraId="4E5691F7" w14:textId="6A8B08CF"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AIDALIM</w:t>
            </w:r>
          </w:p>
        </w:tc>
        <w:tc>
          <w:tcPr>
            <w:tcW w:w="1875" w:type="dxa"/>
            <w:tcBorders>
              <w:top w:val="nil"/>
              <w:left w:val="nil"/>
              <w:bottom w:val="nil"/>
              <w:right w:val="nil"/>
            </w:tcBorders>
          </w:tcPr>
          <w:p w14:paraId="38C32AB4" w14:textId="6D3EBF5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1F2692E" w14:textId="0895F028" w:rsidR="47EEDD1A" w:rsidRDefault="5BCE022A" w:rsidP="78C8608F">
            <w:pPr>
              <w:jc w:val="left"/>
              <w:rPr>
                <w:rFonts w:eastAsia="Source Sans Pro Light" w:cs="Source Sans Pro Light"/>
                <w:color w:val="000000" w:themeColor="text1"/>
              </w:rPr>
            </w:pPr>
            <w:r w:rsidRPr="78C8608F">
              <w:rPr>
                <w:rFonts w:eastAsia="Source Sans Pro Light" w:cs="Source Sans Pro Light"/>
                <w:color w:val="000000" w:themeColor="text1"/>
              </w:rPr>
              <w:t>Aide alimentaire</w:t>
            </w:r>
          </w:p>
        </w:tc>
      </w:tr>
      <w:tr w:rsidR="485F256B" w14:paraId="44776843" w14:textId="77777777" w:rsidTr="78C8608F">
        <w:trPr>
          <w:trHeight w:val="285"/>
        </w:trPr>
        <w:tc>
          <w:tcPr>
            <w:tcW w:w="1860" w:type="dxa"/>
            <w:tcBorders>
              <w:top w:val="nil"/>
              <w:left w:val="nil"/>
              <w:bottom w:val="nil"/>
              <w:right w:val="nil"/>
            </w:tcBorders>
          </w:tcPr>
          <w:p w14:paraId="4D24025C" w14:textId="0B85EBFD"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CONSO</w:t>
            </w:r>
          </w:p>
        </w:tc>
        <w:tc>
          <w:tcPr>
            <w:tcW w:w="1815" w:type="dxa"/>
            <w:tcBorders>
              <w:top w:val="nil"/>
              <w:left w:val="nil"/>
              <w:bottom w:val="nil"/>
              <w:right w:val="nil"/>
            </w:tcBorders>
          </w:tcPr>
          <w:p w14:paraId="3990F86A" w14:textId="1E50301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AUTRES</w:t>
            </w:r>
          </w:p>
        </w:tc>
        <w:tc>
          <w:tcPr>
            <w:tcW w:w="1875" w:type="dxa"/>
            <w:tcBorders>
              <w:top w:val="nil"/>
              <w:left w:val="nil"/>
              <w:bottom w:val="nil"/>
              <w:right w:val="nil"/>
            </w:tcBorders>
          </w:tcPr>
          <w:p w14:paraId="2EB1A542" w14:textId="0881641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AFA877A" w14:textId="2D281389" w:rsidR="47EEDD1A" w:rsidRDefault="158ED503" w:rsidP="78C8608F">
            <w:pPr>
              <w:jc w:val="left"/>
              <w:rPr>
                <w:rFonts w:eastAsia="Source Sans Pro Light" w:cs="Source Sans Pro Light"/>
                <w:color w:val="000000" w:themeColor="text1"/>
              </w:rPr>
            </w:pPr>
            <w:r w:rsidRPr="78C8608F">
              <w:rPr>
                <w:rFonts w:eastAsia="Source Sans Pro Light" w:cs="Source Sans Pro Light"/>
                <w:color w:val="000000" w:themeColor="text1"/>
              </w:rPr>
              <w:t>Consommation alimentaire - Autres</w:t>
            </w:r>
          </w:p>
        </w:tc>
      </w:tr>
      <w:tr w:rsidR="485F256B" w14:paraId="42C4D6A3" w14:textId="77777777" w:rsidTr="78C8608F">
        <w:trPr>
          <w:trHeight w:val="285"/>
        </w:trPr>
        <w:tc>
          <w:tcPr>
            <w:tcW w:w="1860" w:type="dxa"/>
            <w:tcBorders>
              <w:top w:val="nil"/>
              <w:left w:val="nil"/>
              <w:bottom w:val="nil"/>
              <w:right w:val="nil"/>
            </w:tcBorders>
          </w:tcPr>
          <w:p w14:paraId="7DEC7C81" w14:textId="54E153F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CONSO</w:t>
            </w:r>
          </w:p>
        </w:tc>
        <w:tc>
          <w:tcPr>
            <w:tcW w:w="1815" w:type="dxa"/>
            <w:tcBorders>
              <w:top w:val="nil"/>
              <w:left w:val="nil"/>
              <w:bottom w:val="nil"/>
              <w:right w:val="nil"/>
            </w:tcBorders>
          </w:tcPr>
          <w:p w14:paraId="1B27EACF" w14:textId="27DA7ED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7BCA808F" w14:textId="345D553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7D5C2C05" w14:textId="4455A6B1" w:rsidR="47EEDD1A" w:rsidRDefault="3C3FDA4F" w:rsidP="78C8608F">
            <w:pPr>
              <w:jc w:val="left"/>
              <w:rPr>
                <w:rFonts w:eastAsia="Source Sans Pro Light" w:cs="Source Sans Pro Light"/>
                <w:color w:val="000000" w:themeColor="text1"/>
              </w:rPr>
            </w:pPr>
            <w:r w:rsidRPr="78C8608F">
              <w:rPr>
                <w:rFonts w:eastAsia="Source Sans Pro Light" w:cs="Source Sans Pro Light"/>
                <w:color w:val="000000" w:themeColor="text1"/>
              </w:rPr>
              <w:t>Consommation alimentaire - Mixte</w:t>
            </w:r>
          </w:p>
        </w:tc>
      </w:tr>
      <w:tr w:rsidR="78C8608F" w14:paraId="6F393F21" w14:textId="77777777" w:rsidTr="78C8608F">
        <w:trPr>
          <w:trHeight w:val="285"/>
        </w:trPr>
        <w:tc>
          <w:tcPr>
            <w:tcW w:w="1860" w:type="dxa"/>
            <w:tcBorders>
              <w:top w:val="nil"/>
              <w:left w:val="nil"/>
              <w:bottom w:val="nil"/>
              <w:right w:val="nil"/>
            </w:tcBorders>
          </w:tcPr>
          <w:p w14:paraId="4C37C866" w14:textId="10B352BB"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1BD33AEA" w14:textId="61E9DA23"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INSTPRIV</w:t>
            </w:r>
          </w:p>
        </w:tc>
        <w:tc>
          <w:tcPr>
            <w:tcW w:w="1875" w:type="dxa"/>
            <w:tcBorders>
              <w:top w:val="nil"/>
              <w:left w:val="nil"/>
              <w:bottom w:val="nil"/>
              <w:right w:val="nil"/>
            </w:tcBorders>
          </w:tcPr>
          <w:p w14:paraId="2B0F00E6" w14:textId="270802B0"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RECHDONNEES</w:t>
            </w:r>
          </w:p>
        </w:tc>
        <w:tc>
          <w:tcPr>
            <w:tcW w:w="4220" w:type="dxa"/>
            <w:tcBorders>
              <w:top w:val="nil"/>
              <w:left w:val="nil"/>
              <w:bottom w:val="nil"/>
              <w:right w:val="nil"/>
            </w:tcBorders>
          </w:tcPr>
          <w:p w14:paraId="5BD9552A" w14:textId="1EFAFC6F" w:rsidR="4363181B" w:rsidRDefault="4363181B"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privées - Recherche et données</w:t>
            </w:r>
          </w:p>
        </w:tc>
      </w:tr>
      <w:tr w:rsidR="485F256B" w14:paraId="04015B1D" w14:textId="77777777" w:rsidTr="78C8608F">
        <w:trPr>
          <w:trHeight w:val="285"/>
        </w:trPr>
        <w:tc>
          <w:tcPr>
            <w:tcW w:w="1860" w:type="dxa"/>
            <w:tcBorders>
              <w:top w:val="nil"/>
              <w:left w:val="nil"/>
              <w:bottom w:val="nil"/>
              <w:right w:val="nil"/>
            </w:tcBorders>
          </w:tcPr>
          <w:p w14:paraId="35803718" w14:textId="29597908"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1FB84541" w14:textId="6B7DE18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INSTPRIV</w:t>
            </w:r>
          </w:p>
        </w:tc>
        <w:tc>
          <w:tcPr>
            <w:tcW w:w="1875" w:type="dxa"/>
            <w:tcBorders>
              <w:top w:val="nil"/>
              <w:left w:val="nil"/>
              <w:bottom w:val="nil"/>
              <w:right w:val="nil"/>
            </w:tcBorders>
          </w:tcPr>
          <w:p w14:paraId="4A68E5AD" w14:textId="6F98B47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AUTRES</w:t>
            </w:r>
          </w:p>
        </w:tc>
        <w:tc>
          <w:tcPr>
            <w:tcW w:w="4220" w:type="dxa"/>
            <w:tcBorders>
              <w:top w:val="nil"/>
              <w:left w:val="nil"/>
              <w:bottom w:val="nil"/>
              <w:right w:val="nil"/>
            </w:tcBorders>
          </w:tcPr>
          <w:p w14:paraId="11BE6AC2" w14:textId="6F52E31F" w:rsidR="47EEDD1A" w:rsidRDefault="54B3897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privées - Autres</w:t>
            </w:r>
          </w:p>
        </w:tc>
      </w:tr>
      <w:tr w:rsidR="485F256B" w14:paraId="47433AAD" w14:textId="77777777" w:rsidTr="78C8608F">
        <w:trPr>
          <w:trHeight w:val="285"/>
        </w:trPr>
        <w:tc>
          <w:tcPr>
            <w:tcW w:w="1860" w:type="dxa"/>
            <w:tcBorders>
              <w:top w:val="nil"/>
              <w:left w:val="nil"/>
              <w:bottom w:val="nil"/>
              <w:right w:val="nil"/>
            </w:tcBorders>
          </w:tcPr>
          <w:p w14:paraId="42C91266" w14:textId="42DA3D3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70B04753" w14:textId="3FCB7CB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INSTPRIV</w:t>
            </w:r>
          </w:p>
        </w:tc>
        <w:tc>
          <w:tcPr>
            <w:tcW w:w="1875" w:type="dxa"/>
            <w:tcBorders>
              <w:top w:val="nil"/>
              <w:left w:val="nil"/>
              <w:bottom w:val="nil"/>
              <w:right w:val="nil"/>
            </w:tcBorders>
          </w:tcPr>
          <w:p w14:paraId="4E89E105" w14:textId="22D5288A"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3192E4E9" w14:textId="72DDEB2C" w:rsidR="47EEDD1A" w:rsidRDefault="21CCBC95"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privées - Mixte</w:t>
            </w:r>
          </w:p>
        </w:tc>
      </w:tr>
      <w:tr w:rsidR="78C8608F" w14:paraId="72DCCAEC" w14:textId="77777777" w:rsidTr="78C8608F">
        <w:trPr>
          <w:trHeight w:val="285"/>
        </w:trPr>
        <w:tc>
          <w:tcPr>
            <w:tcW w:w="1860" w:type="dxa"/>
            <w:tcBorders>
              <w:top w:val="nil"/>
              <w:left w:val="nil"/>
              <w:bottom w:val="nil"/>
              <w:right w:val="nil"/>
            </w:tcBorders>
          </w:tcPr>
          <w:p w14:paraId="2CCDDD5D" w14:textId="4D22886F"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1676E31F" w14:textId="463151D0"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INSTPUB</w:t>
            </w:r>
          </w:p>
        </w:tc>
        <w:tc>
          <w:tcPr>
            <w:tcW w:w="1875" w:type="dxa"/>
            <w:tcBorders>
              <w:top w:val="nil"/>
              <w:left w:val="nil"/>
              <w:bottom w:val="nil"/>
              <w:right w:val="nil"/>
            </w:tcBorders>
          </w:tcPr>
          <w:p w14:paraId="099C8996" w14:textId="15AC0F98"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RECHDONNEES</w:t>
            </w:r>
          </w:p>
        </w:tc>
        <w:tc>
          <w:tcPr>
            <w:tcW w:w="4220" w:type="dxa"/>
            <w:tcBorders>
              <w:top w:val="nil"/>
              <w:left w:val="nil"/>
              <w:bottom w:val="nil"/>
              <w:right w:val="nil"/>
            </w:tcBorders>
          </w:tcPr>
          <w:p w14:paraId="0E84A08F" w14:textId="4ADF8CAF" w:rsidR="48ECA0D4" w:rsidRDefault="48ECA0D4"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publiques – Recherche et données</w:t>
            </w:r>
          </w:p>
        </w:tc>
      </w:tr>
      <w:tr w:rsidR="485F256B" w14:paraId="78A4D45F" w14:textId="77777777" w:rsidTr="78C8608F">
        <w:trPr>
          <w:trHeight w:val="285"/>
        </w:trPr>
        <w:tc>
          <w:tcPr>
            <w:tcW w:w="1860" w:type="dxa"/>
            <w:tcBorders>
              <w:top w:val="nil"/>
              <w:left w:val="nil"/>
              <w:bottom w:val="nil"/>
              <w:right w:val="nil"/>
            </w:tcBorders>
          </w:tcPr>
          <w:p w14:paraId="3B85E42E" w14:textId="10A636A7"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17DF7303" w14:textId="651D5DC6"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INSTPUB</w:t>
            </w:r>
          </w:p>
        </w:tc>
        <w:tc>
          <w:tcPr>
            <w:tcW w:w="1875" w:type="dxa"/>
            <w:tcBorders>
              <w:top w:val="nil"/>
              <w:left w:val="nil"/>
              <w:bottom w:val="nil"/>
              <w:right w:val="nil"/>
            </w:tcBorders>
          </w:tcPr>
          <w:p w14:paraId="4ABF3968" w14:textId="006640B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8D59650" w14:textId="69107049" w:rsidR="47EEDD1A" w:rsidRDefault="01A3EF71"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publiques - Mixte</w:t>
            </w:r>
          </w:p>
        </w:tc>
      </w:tr>
      <w:tr w:rsidR="485F256B" w14:paraId="22CEEF5E" w14:textId="77777777" w:rsidTr="78C8608F">
        <w:trPr>
          <w:trHeight w:val="285"/>
        </w:trPr>
        <w:tc>
          <w:tcPr>
            <w:tcW w:w="1860" w:type="dxa"/>
            <w:tcBorders>
              <w:top w:val="nil"/>
              <w:left w:val="nil"/>
              <w:bottom w:val="nil"/>
              <w:right w:val="nil"/>
            </w:tcBorders>
          </w:tcPr>
          <w:p w14:paraId="0993672C" w14:textId="2CCC15EE"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5A7FA9E8" w14:textId="2C1B1533"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INTERNAT</w:t>
            </w:r>
          </w:p>
        </w:tc>
        <w:tc>
          <w:tcPr>
            <w:tcW w:w="1875" w:type="dxa"/>
            <w:tcBorders>
              <w:top w:val="nil"/>
              <w:left w:val="nil"/>
              <w:bottom w:val="nil"/>
              <w:right w:val="nil"/>
            </w:tcBorders>
          </w:tcPr>
          <w:p w14:paraId="4936109A" w14:textId="598D1952"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73009F4" w14:textId="235F3447" w:rsidR="47EEDD1A" w:rsidRDefault="6C3D0747" w:rsidP="78C8608F">
            <w:pPr>
              <w:jc w:val="left"/>
              <w:rPr>
                <w:rFonts w:eastAsia="Source Sans Pro Light" w:cs="Source Sans Pro Light"/>
                <w:color w:val="000000" w:themeColor="text1"/>
              </w:rPr>
            </w:pPr>
            <w:r w:rsidRPr="78C8608F">
              <w:rPr>
                <w:rFonts w:eastAsia="Source Sans Pro Light" w:cs="Source Sans Pro Light"/>
                <w:color w:val="000000" w:themeColor="text1"/>
              </w:rPr>
              <w:t>Institutions publiques – Organisations internationales</w:t>
            </w:r>
          </w:p>
        </w:tc>
      </w:tr>
      <w:tr w:rsidR="78C8608F" w14:paraId="43BE9056" w14:textId="77777777" w:rsidTr="78C8608F">
        <w:trPr>
          <w:trHeight w:val="285"/>
        </w:trPr>
        <w:tc>
          <w:tcPr>
            <w:tcW w:w="1860" w:type="dxa"/>
            <w:tcBorders>
              <w:top w:val="nil"/>
              <w:left w:val="nil"/>
              <w:bottom w:val="nil"/>
              <w:right w:val="nil"/>
            </w:tcBorders>
          </w:tcPr>
          <w:p w14:paraId="1D6332CF" w14:textId="7C283D9D"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46A8CFC1" w14:textId="23AE48DE"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AUTRES</w:t>
            </w:r>
          </w:p>
        </w:tc>
        <w:tc>
          <w:tcPr>
            <w:tcW w:w="1875" w:type="dxa"/>
            <w:tcBorders>
              <w:top w:val="nil"/>
              <w:left w:val="nil"/>
              <w:bottom w:val="nil"/>
              <w:right w:val="nil"/>
            </w:tcBorders>
          </w:tcPr>
          <w:p w14:paraId="70679C67" w14:textId="16A47406"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6589B66F" w14:textId="12234A3E" w:rsidR="20A905DF" w:rsidRDefault="20A905DF" w:rsidP="78C8608F">
            <w:pPr>
              <w:jc w:val="left"/>
              <w:rPr>
                <w:rFonts w:eastAsia="Source Sans Pro Light" w:cs="Source Sans Pro Light"/>
                <w:color w:val="000000" w:themeColor="text1"/>
              </w:rPr>
            </w:pPr>
            <w:r w:rsidRPr="78C8608F">
              <w:rPr>
                <w:rFonts w:eastAsia="Source Sans Pro Light" w:cs="Source Sans Pro Light"/>
                <w:color w:val="000000" w:themeColor="text1"/>
              </w:rPr>
              <w:t>Autres bénéficiaires - Mixte</w:t>
            </w:r>
          </w:p>
        </w:tc>
      </w:tr>
      <w:tr w:rsidR="78C8608F" w14:paraId="3EFF1F0E" w14:textId="77777777" w:rsidTr="78C8608F">
        <w:trPr>
          <w:trHeight w:val="285"/>
        </w:trPr>
        <w:tc>
          <w:tcPr>
            <w:tcW w:w="1860" w:type="dxa"/>
            <w:tcBorders>
              <w:top w:val="nil"/>
              <w:left w:val="nil"/>
              <w:bottom w:val="nil"/>
              <w:right w:val="nil"/>
            </w:tcBorders>
          </w:tcPr>
          <w:p w14:paraId="72442061" w14:textId="127D9D3F"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0B2528A5" w14:textId="5649007A"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AUTRES</w:t>
            </w:r>
          </w:p>
        </w:tc>
        <w:tc>
          <w:tcPr>
            <w:tcW w:w="1875" w:type="dxa"/>
            <w:tcBorders>
              <w:top w:val="nil"/>
              <w:left w:val="nil"/>
              <w:bottom w:val="nil"/>
              <w:right w:val="nil"/>
            </w:tcBorders>
          </w:tcPr>
          <w:p w14:paraId="55BD5CB1" w14:textId="5AF64BE8" w:rsidR="78C8608F" w:rsidRDefault="78C8608F"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RECHDONNEES</w:t>
            </w:r>
          </w:p>
        </w:tc>
        <w:tc>
          <w:tcPr>
            <w:tcW w:w="4220" w:type="dxa"/>
            <w:tcBorders>
              <w:top w:val="nil"/>
              <w:left w:val="nil"/>
              <w:bottom w:val="nil"/>
              <w:right w:val="nil"/>
            </w:tcBorders>
          </w:tcPr>
          <w:p w14:paraId="4A8262B2" w14:textId="18F19244" w:rsidR="047D6178" w:rsidRDefault="047D6178" w:rsidP="78C8608F">
            <w:pPr>
              <w:jc w:val="left"/>
              <w:rPr>
                <w:rFonts w:eastAsia="Source Sans Pro Light" w:cs="Source Sans Pro Light"/>
                <w:color w:val="000000" w:themeColor="text1"/>
              </w:rPr>
            </w:pPr>
            <w:r w:rsidRPr="78C8608F">
              <w:rPr>
                <w:rFonts w:eastAsia="Source Sans Pro Light" w:cs="Source Sans Pro Light"/>
                <w:color w:val="000000" w:themeColor="text1"/>
              </w:rPr>
              <w:t>Autres bénéficiaires - Recherche et données</w:t>
            </w:r>
          </w:p>
        </w:tc>
      </w:tr>
      <w:tr w:rsidR="485F256B" w14:paraId="2C7037F5" w14:textId="77777777" w:rsidTr="78C8608F">
        <w:trPr>
          <w:trHeight w:val="285"/>
        </w:trPr>
        <w:tc>
          <w:tcPr>
            <w:tcW w:w="1860" w:type="dxa"/>
            <w:tcBorders>
              <w:top w:val="nil"/>
              <w:left w:val="nil"/>
              <w:bottom w:val="nil"/>
              <w:right w:val="nil"/>
            </w:tcBorders>
          </w:tcPr>
          <w:p w14:paraId="343F2023" w14:textId="4E95062B"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TRANSVERSE</w:t>
            </w:r>
          </w:p>
        </w:tc>
        <w:tc>
          <w:tcPr>
            <w:tcW w:w="1815" w:type="dxa"/>
            <w:tcBorders>
              <w:top w:val="nil"/>
              <w:left w:val="nil"/>
              <w:bottom w:val="nil"/>
              <w:right w:val="nil"/>
            </w:tcBorders>
          </w:tcPr>
          <w:p w14:paraId="40A879F2" w14:textId="57652304"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1875" w:type="dxa"/>
            <w:tcBorders>
              <w:top w:val="nil"/>
              <w:left w:val="nil"/>
              <w:bottom w:val="nil"/>
              <w:right w:val="nil"/>
            </w:tcBorders>
          </w:tcPr>
          <w:p w14:paraId="704ADAD5" w14:textId="6F23C935" w:rsidR="485F256B" w:rsidRPr="006558B9" w:rsidRDefault="16DEBE84" w:rsidP="78C8608F">
            <w:pPr>
              <w:spacing w:after="0"/>
              <w:jc w:val="left"/>
              <w:rPr>
                <w:rFonts w:eastAsia="Source Sans Pro Light" w:cs="Source Sans Pro Light"/>
                <w:color w:val="000000" w:themeColor="text1"/>
              </w:rPr>
            </w:pPr>
            <w:r w:rsidRPr="78C8608F">
              <w:rPr>
                <w:rFonts w:eastAsia="Source Sans Pro Light" w:cs="Source Sans Pro Light"/>
                <w:color w:val="000000" w:themeColor="text1"/>
              </w:rPr>
              <w:t>MIXTE</w:t>
            </w:r>
          </w:p>
        </w:tc>
        <w:tc>
          <w:tcPr>
            <w:tcW w:w="4220" w:type="dxa"/>
            <w:tcBorders>
              <w:top w:val="nil"/>
              <w:left w:val="nil"/>
              <w:bottom w:val="nil"/>
              <w:right w:val="nil"/>
            </w:tcBorders>
          </w:tcPr>
          <w:p w14:paraId="077C66C4" w14:textId="70C29EBF" w:rsidR="47EEDD1A" w:rsidRDefault="0B45A6E7" w:rsidP="78C8608F">
            <w:pPr>
              <w:jc w:val="left"/>
              <w:rPr>
                <w:rFonts w:eastAsia="Source Sans Pro Light" w:cs="Source Sans Pro Light"/>
                <w:color w:val="000000" w:themeColor="text1"/>
              </w:rPr>
            </w:pPr>
            <w:r w:rsidRPr="78C8608F">
              <w:rPr>
                <w:rFonts w:eastAsia="Source Sans Pro Light" w:cs="Source Sans Pro Light"/>
                <w:color w:val="000000" w:themeColor="text1"/>
              </w:rPr>
              <w:t>Transverse - Mixte</w:t>
            </w:r>
          </w:p>
        </w:tc>
      </w:tr>
    </w:tbl>
    <w:p w14:paraId="77F1967D" w14:textId="6F9DA568" w:rsidR="485F256B" w:rsidRDefault="485F256B" w:rsidP="485F256B"/>
    <w:p w14:paraId="56E187A8" w14:textId="09243CD1" w:rsidR="009514DA" w:rsidRDefault="009514DA" w:rsidP="00927D85"/>
    <w:p w14:paraId="7B5AF5FA" w14:textId="195FE3A7" w:rsidR="0087035A" w:rsidRPr="00C05D7F" w:rsidRDefault="0087035A" w:rsidP="00416D02"/>
    <w:sectPr w:rsidR="0087035A" w:rsidRPr="00C05D7F" w:rsidSect="00C74A0F">
      <w:headerReference w:type="even" r:id="rId35"/>
      <w:headerReference w:type="default" r:id="rId36"/>
      <w:footerReference w:type="even" r:id="rId37"/>
      <w:footerReference w:type="default" r:id="rId38"/>
      <w:footerReference w:type="first" r:id="rId39"/>
      <w:pgSz w:w="11906" w:h="16838" w:code="9"/>
      <w:pgMar w:top="992" w:right="1134" w:bottom="1701" w:left="1134" w:header="709" w:footer="79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B6E65" w14:textId="77777777" w:rsidR="00720108" w:rsidRDefault="00720108" w:rsidP="00416D02">
      <w:r>
        <w:separator/>
      </w:r>
    </w:p>
    <w:p w14:paraId="7F56BDB4" w14:textId="77777777" w:rsidR="00720108" w:rsidRDefault="00720108" w:rsidP="00416D02"/>
  </w:endnote>
  <w:endnote w:type="continuationSeparator" w:id="0">
    <w:p w14:paraId="6DB5C4CF" w14:textId="77777777" w:rsidR="00720108" w:rsidRDefault="00720108" w:rsidP="00416D02">
      <w:r>
        <w:continuationSeparator/>
      </w:r>
    </w:p>
    <w:p w14:paraId="714C392D" w14:textId="77777777" w:rsidR="00720108" w:rsidRDefault="00720108" w:rsidP="00416D02"/>
  </w:endnote>
  <w:endnote w:type="continuationNotice" w:id="1">
    <w:p w14:paraId="1D146C26" w14:textId="77777777" w:rsidR="00720108" w:rsidRDefault="00720108" w:rsidP="00416D02"/>
    <w:p w14:paraId="3385C1E0" w14:textId="77777777" w:rsidR="00720108" w:rsidRDefault="00720108" w:rsidP="00416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Source Sans Pro Black">
    <w:altName w:val="Arial"/>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72A103" w14:paraId="742A6FB6" w14:textId="77777777" w:rsidTr="006558B9">
      <w:trPr>
        <w:trHeight w:val="300"/>
      </w:trPr>
      <w:tc>
        <w:tcPr>
          <w:tcW w:w="3210" w:type="dxa"/>
        </w:tcPr>
        <w:p w14:paraId="4F770761" w14:textId="7994A785" w:rsidR="2072A103" w:rsidRDefault="2072A103" w:rsidP="006558B9">
          <w:pPr>
            <w:pStyle w:val="En-tte"/>
            <w:ind w:left="-115"/>
            <w:jc w:val="left"/>
          </w:pPr>
        </w:p>
      </w:tc>
      <w:tc>
        <w:tcPr>
          <w:tcW w:w="3210" w:type="dxa"/>
        </w:tcPr>
        <w:p w14:paraId="2E3EC36B" w14:textId="06653096" w:rsidR="2072A103" w:rsidRDefault="2072A103" w:rsidP="006558B9">
          <w:pPr>
            <w:pStyle w:val="En-tte"/>
            <w:jc w:val="center"/>
          </w:pPr>
        </w:p>
      </w:tc>
      <w:tc>
        <w:tcPr>
          <w:tcW w:w="3210" w:type="dxa"/>
        </w:tcPr>
        <w:p w14:paraId="016923AC" w14:textId="137B6AF8" w:rsidR="2072A103" w:rsidRDefault="2072A103" w:rsidP="006558B9">
          <w:pPr>
            <w:pStyle w:val="En-tte"/>
            <w:ind w:right="-115"/>
            <w:jc w:val="right"/>
          </w:pPr>
          <w:r>
            <w:fldChar w:fldCharType="begin"/>
          </w:r>
          <w:r>
            <w:instrText>PAGE</w:instrText>
          </w:r>
          <w:r>
            <w:fldChar w:fldCharType="separate"/>
          </w:r>
          <w:r w:rsidR="001D4CFE">
            <w:rPr>
              <w:noProof/>
            </w:rPr>
            <w:t>2</w:t>
          </w:r>
          <w:r>
            <w:fldChar w:fldCharType="end"/>
          </w:r>
        </w:p>
      </w:tc>
    </w:tr>
  </w:tbl>
  <w:p w14:paraId="379463B0" w14:textId="7865230D" w:rsidR="009D3292" w:rsidRDefault="009D32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72A103" w14:paraId="2FD3C522" w14:textId="77777777" w:rsidTr="006558B9">
      <w:trPr>
        <w:trHeight w:val="300"/>
      </w:trPr>
      <w:tc>
        <w:tcPr>
          <w:tcW w:w="3210" w:type="dxa"/>
        </w:tcPr>
        <w:p w14:paraId="4E00655A" w14:textId="61C56D00" w:rsidR="2072A103" w:rsidRDefault="2072A103" w:rsidP="006558B9">
          <w:pPr>
            <w:pStyle w:val="En-tte"/>
            <w:ind w:left="-115"/>
            <w:jc w:val="left"/>
          </w:pPr>
        </w:p>
      </w:tc>
      <w:tc>
        <w:tcPr>
          <w:tcW w:w="3210" w:type="dxa"/>
        </w:tcPr>
        <w:p w14:paraId="0A936E82" w14:textId="650602E6" w:rsidR="2072A103" w:rsidRDefault="2072A103" w:rsidP="006558B9">
          <w:pPr>
            <w:pStyle w:val="En-tte"/>
            <w:jc w:val="center"/>
          </w:pPr>
        </w:p>
      </w:tc>
      <w:tc>
        <w:tcPr>
          <w:tcW w:w="3210" w:type="dxa"/>
        </w:tcPr>
        <w:p w14:paraId="49C8A175" w14:textId="70980818" w:rsidR="2072A103" w:rsidRDefault="2072A103" w:rsidP="006558B9">
          <w:pPr>
            <w:pStyle w:val="En-tte"/>
            <w:ind w:right="-115"/>
            <w:jc w:val="right"/>
          </w:pPr>
          <w:r>
            <w:fldChar w:fldCharType="begin"/>
          </w:r>
          <w:r>
            <w:instrText>PAGE</w:instrText>
          </w:r>
          <w:r>
            <w:fldChar w:fldCharType="separate"/>
          </w:r>
          <w:r w:rsidR="001D4CFE">
            <w:rPr>
              <w:noProof/>
            </w:rPr>
            <w:t>1</w:t>
          </w:r>
          <w:r>
            <w:fldChar w:fldCharType="end"/>
          </w:r>
        </w:p>
      </w:tc>
    </w:tr>
  </w:tbl>
  <w:p w14:paraId="2E936508" w14:textId="6B09A8F5" w:rsidR="009D3292" w:rsidRDefault="009D32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ACC6" w14:textId="77777777" w:rsidR="00EB1F1B" w:rsidRDefault="00EB1F1B" w:rsidP="00416D02">
    <w:pPr>
      <w:pStyle w:val="Pieddepage"/>
    </w:pPr>
    <w:r>
      <w:rPr>
        <w:noProof/>
      </w:rPr>
      <w:drawing>
        <wp:anchor distT="0" distB="0" distL="114300" distR="114300" simplePos="0" relativeHeight="251658240" behindDoc="0" locked="0" layoutInCell="1" allowOverlap="1" wp14:anchorId="05F21148" wp14:editId="328DB978">
          <wp:simplePos x="0" y="0"/>
          <wp:positionH relativeFrom="margin">
            <wp:align>center</wp:align>
          </wp:positionH>
          <wp:positionV relativeFrom="paragraph">
            <wp:posOffset>-469265</wp:posOffset>
          </wp:positionV>
          <wp:extent cx="1936750" cy="464185"/>
          <wp:effectExtent l="0" t="0" r="6350" b="0"/>
          <wp:wrapSquare wrapText="bothSides"/>
          <wp:docPr id="2017746898" name="Picture 48292893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C2E03" w14:textId="77777777" w:rsidR="00720108" w:rsidRDefault="00720108" w:rsidP="007D31F9">
      <w:pPr>
        <w:spacing w:after="0"/>
      </w:pPr>
      <w:r>
        <w:separator/>
      </w:r>
    </w:p>
    <w:p w14:paraId="2AFDCFAE" w14:textId="77777777" w:rsidR="00720108" w:rsidRPr="00010048" w:rsidRDefault="00720108" w:rsidP="007D31F9">
      <w:pPr>
        <w:spacing w:after="0"/>
        <w:rPr>
          <w:rStyle w:val="Rfrencelgre"/>
        </w:rPr>
      </w:pPr>
    </w:p>
  </w:footnote>
  <w:footnote w:type="continuationSeparator" w:id="0">
    <w:p w14:paraId="50DDA287" w14:textId="77777777" w:rsidR="00720108" w:rsidRPr="0037737A" w:rsidRDefault="00720108" w:rsidP="00416D02">
      <w:r w:rsidRPr="00EB6C92">
        <w:separator/>
      </w:r>
      <w:r w:rsidRPr="00EB6C92">
        <w:separator/>
      </w:r>
      <w:r w:rsidRPr="00EB6C92">
        <w:separator/>
      </w:r>
      <w:r w:rsidRPr="00EB6C92">
        <w:separator/>
      </w:r>
    </w:p>
    <w:p w14:paraId="61B0EF8E" w14:textId="77777777" w:rsidR="00720108" w:rsidRPr="0037737A" w:rsidRDefault="00720108" w:rsidP="00416D02"/>
  </w:footnote>
  <w:footnote w:type="continuationNotice" w:id="1">
    <w:p w14:paraId="2F34AF56" w14:textId="77777777" w:rsidR="00720108" w:rsidRDefault="00720108" w:rsidP="00416D02"/>
    <w:p w14:paraId="133747D8" w14:textId="77777777" w:rsidR="00720108" w:rsidRDefault="00720108" w:rsidP="00416D02"/>
  </w:footnote>
  <w:footnote w:id="2">
    <w:p w14:paraId="238EA9E4" w14:textId="07503F8A" w:rsidR="00C07937" w:rsidRDefault="00C07937">
      <w:pPr>
        <w:pStyle w:val="Notedebasdepage"/>
      </w:pPr>
      <w:r>
        <w:rPr>
          <w:rStyle w:val="Appelnotedebasdep"/>
        </w:rPr>
        <w:footnoteRef/>
      </w:r>
      <w:r>
        <w:t xml:space="preserve"> Source : </w:t>
      </w:r>
      <w:hyperlink r:id="rId1" w:history="1">
        <w:r w:rsidR="00820EF3" w:rsidRPr="00561881">
          <w:rPr>
            <w:rStyle w:val="Lienhypertexte"/>
          </w:rPr>
          <w:t>https://www.ccomptes.fr/fr/publications/la-politique-dinstallation-des-nouveaux-agriculteurs-et-de-transmission-des</w:t>
        </w:r>
      </w:hyperlink>
      <w:r>
        <w:t xml:space="preserve"> </w:t>
      </w:r>
    </w:p>
  </w:footnote>
  <w:footnote w:id="3">
    <w:p w14:paraId="1A80815F" w14:textId="404A203C" w:rsidR="008A4A09" w:rsidRDefault="008A4A09">
      <w:pPr>
        <w:pStyle w:val="Notedebasdepage"/>
      </w:pPr>
      <w:r>
        <w:rPr>
          <w:rStyle w:val="Appelnotedebasdep"/>
        </w:rPr>
        <w:footnoteRef/>
      </w:r>
      <w:r>
        <w:t xml:space="preserve"> </w:t>
      </w:r>
      <w:r w:rsidRPr="008A4A09">
        <w:t>Source</w:t>
      </w:r>
      <w:r w:rsidR="00CE7388">
        <w:t xml:space="preserve"> </w:t>
      </w:r>
      <w:r w:rsidRPr="008A4A09">
        <w:t xml:space="preserve">: </w:t>
      </w:r>
      <w:hyperlink r:id="rId2" w:history="1">
        <w:r w:rsidR="00CE7388" w:rsidRPr="00561881">
          <w:rPr>
            <w:rStyle w:val="Lienhypertexte"/>
          </w:rPr>
          <w:t>https://agreste.agriculture.gouv.fr/agreste-web/download/publication/publie/Chd2116/cd2021-16_Aqua2020.pdf</w:t>
        </w:r>
      </w:hyperlink>
      <w:r w:rsidR="00CE7388">
        <w:t xml:space="preserve"> </w:t>
      </w:r>
      <w:r w:rsidRPr="008A4A09">
        <w:t xml:space="preserve"> page 18</w:t>
      </w:r>
      <w:r>
        <w:t xml:space="preserve"> </w:t>
      </w:r>
    </w:p>
  </w:footnote>
  <w:footnote w:id="4">
    <w:p w14:paraId="62D8CE3F" w14:textId="77777777" w:rsidR="00F34ABF" w:rsidRDefault="00F34ABF" w:rsidP="00F34ABF">
      <w:pPr>
        <w:pStyle w:val="Notedebasdepage"/>
      </w:pPr>
      <w:r>
        <w:rPr>
          <w:rStyle w:val="Appelnotedebasdep"/>
        </w:rPr>
        <w:footnoteRef/>
      </w:r>
      <w:r>
        <w:t xml:space="preserve"> </w:t>
      </w:r>
      <w:hyperlink r:id="rId3" w:anchor=":~:text=Ainsi%2C%20au%20quatri%C3%A8me%20trimestre%202024,l'inflation%20sous%2Djacente" w:history="1">
        <w:r w:rsidRPr="00956281">
          <w:rPr>
            <w:rStyle w:val="Lienhypertexte"/>
          </w:rPr>
          <w:t>https://www.banque-france.fr/fr/publications-et-statistiques/publications/projections-macroeconomiques-mars-2024#:~:text=Ainsi%2C%20au%20quatri%C3%A8me%20trimestre%202024,l'inflation%20sous%2Djacente</w:t>
        </w:r>
      </w:hyperlink>
      <w:r w:rsidRPr="00100FD0">
        <w:t>.</w:t>
      </w:r>
      <w:r>
        <w:t xml:space="preserve"> </w:t>
      </w:r>
    </w:p>
  </w:footnote>
  <w:footnote w:id="5">
    <w:p w14:paraId="3B7D631B" w14:textId="0BCE4254" w:rsidR="00464815" w:rsidRPr="00CA7A7B" w:rsidRDefault="00464815" w:rsidP="00464815">
      <w:pPr>
        <w:pStyle w:val="Notedebasdepage"/>
      </w:pPr>
      <w:r w:rsidRPr="00CA7A7B">
        <w:rPr>
          <w:rStyle w:val="Appelnotedebasdep"/>
        </w:rPr>
        <w:footnoteRef/>
      </w:r>
      <w:r w:rsidRPr="00CA7A7B">
        <w:t xml:space="preserve"> Annexe 4 ou </w:t>
      </w:r>
      <w:r w:rsidR="006E6AC3" w:rsidRPr="00CA7A7B">
        <w:t>A</w:t>
      </w:r>
      <w:r w:rsidRPr="00CA7A7B">
        <w:t xml:space="preserve">nnexe 5, selon l’année, ayant pour titre « Présentation des mesures de réduction et d'exonération de cotisations et contributions ainsi que de leur compensation ». Exemple de l’annexe 4 du PLFSS 2023 : </w:t>
      </w:r>
      <w:hyperlink r:id="rId4" w:history="1">
        <w:r w:rsidRPr="00CA7A7B">
          <w:rPr>
            <w:rStyle w:val="Lienhypertexte"/>
          </w:rPr>
          <w:t>https://www.securite-sociale.fr/files/live/sites/SSFR/files/medias/PLFSS/2023/PLFSS2023_Annexe%204.pdf</w:t>
        </w:r>
      </w:hyperlink>
      <w:r w:rsidRPr="00CA7A7B">
        <w:t xml:space="preserve"> </w:t>
      </w:r>
    </w:p>
  </w:footnote>
  <w:footnote w:id="6">
    <w:p w14:paraId="473D22D5" w14:textId="77777777" w:rsidR="007041E4" w:rsidRPr="00CA7A7B" w:rsidRDefault="007041E4" w:rsidP="007041E4">
      <w:pPr>
        <w:pStyle w:val="Notedebasdepage"/>
      </w:pPr>
      <w:r w:rsidRPr="00CA7A7B">
        <w:rPr>
          <w:rStyle w:val="Appelnotedebasdep"/>
        </w:rPr>
        <w:footnoteRef/>
      </w:r>
      <w:r w:rsidRPr="00CA7A7B">
        <w:t xml:space="preserve"> Selon Antoine Math, chercheur à l’IRES (Institut de Recherches Economiques et Sociales)</w:t>
      </w:r>
    </w:p>
  </w:footnote>
  <w:footnote w:id="7">
    <w:p w14:paraId="22B4319C" w14:textId="6D949E12" w:rsidR="007041E4" w:rsidRPr="00635369" w:rsidRDefault="007041E4" w:rsidP="00635369">
      <w:pPr>
        <w:pStyle w:val="Titre1"/>
        <w:numPr>
          <w:ilvl w:val="0"/>
          <w:numId w:val="0"/>
        </w:numPr>
        <w:spacing w:after="0"/>
        <w:rPr>
          <w:rFonts w:cs="Times New Roman"/>
        </w:rPr>
      </w:pPr>
      <w:r w:rsidRPr="006558B9">
        <w:rPr>
          <w:rStyle w:val="Appelnotedebasdep"/>
          <w:sz w:val="18"/>
          <w:szCs w:val="18"/>
        </w:rPr>
        <w:footnoteRef/>
      </w:r>
      <w:r w:rsidR="5F487394">
        <w:t xml:space="preserve"> </w:t>
      </w:r>
      <w:r w:rsidR="5F487394" w:rsidRPr="006558B9">
        <w:rPr>
          <w:rFonts w:ascii="Source Sans Pro Light" w:hAnsi="Source Sans Pro Light"/>
          <w:sz w:val="18"/>
          <w:szCs w:val="18"/>
        </w:rPr>
        <w:t>ITAF : Impôts et Taxes Affectées à la protection sociale. Ce sont des prélèvements obligatoires explicitement affectés au financement de la protection sociale.</w:t>
      </w:r>
    </w:p>
  </w:footnote>
  <w:footnote w:id="8">
    <w:p w14:paraId="40815447" w14:textId="3D867DC3" w:rsidR="00DA2112" w:rsidRDefault="00DA2112" w:rsidP="00DA2112">
      <w:r w:rsidRPr="00873698">
        <w:rPr>
          <w:rStyle w:val="Appelnotedebasdep"/>
          <w:sz w:val="18"/>
          <w:szCs w:val="18"/>
        </w:rPr>
        <w:footnoteRef/>
      </w:r>
      <w:r w:rsidRPr="00873698">
        <w:rPr>
          <w:sz w:val="18"/>
          <w:szCs w:val="18"/>
        </w:rPr>
        <w:t xml:space="preserve"> Les allègements</w:t>
      </w:r>
      <w:r w:rsidRPr="00CA7A7B">
        <w:rPr>
          <w:sz w:val="18"/>
          <w:szCs w:val="18"/>
        </w:rPr>
        <w:t xml:space="preserve"> de cotisations sociales (allègements généraux sur les bas salaires ou allègements ciblés pour favoriser l’embauche dans des secteurs d’activités ou des territoires fragiles) entraînent donc des transferts de l’État vers la sécurité sociale ont été réalisés, en vertu d’une règle de compensation des pertes de recettes induites pour la sécurité sociale. Source : </w:t>
      </w:r>
      <w:hyperlink r:id="rId5" w:history="1">
        <w:r w:rsidRPr="00CA7A7B">
          <w:rPr>
            <w:rStyle w:val="Lienhypertexte"/>
            <w:sz w:val="18"/>
            <w:szCs w:val="18"/>
          </w:rPr>
          <w:t>https://www.senat.fr/fileadmin/import/files/fileadmin/Fichiers/Images/commission/finances/Auditions/Rapport_du_Gvt_au_Parlement_</w:t>
        </w:r>
        <w:r w:rsidR="00594801">
          <w:rPr>
            <w:rStyle w:val="Lienhypertexte"/>
            <w:sz w:val="18"/>
            <w:szCs w:val="18"/>
          </w:rPr>
          <w:t>État</w:t>
        </w:r>
        <w:r w:rsidRPr="00CA7A7B">
          <w:rPr>
            <w:rStyle w:val="Lienhypertexte"/>
            <w:sz w:val="18"/>
            <w:szCs w:val="18"/>
          </w:rPr>
          <w:t>_Securite_Sociale_01.pdf</w:t>
        </w:r>
      </w:hyperlink>
      <w:r>
        <w:t xml:space="preserve"> </w:t>
      </w:r>
    </w:p>
  </w:footnote>
  <w:footnote w:id="9">
    <w:p w14:paraId="0FF46144" w14:textId="0D1CEB3F" w:rsidR="00117A92" w:rsidRDefault="00117A92">
      <w:pPr>
        <w:pStyle w:val="Notedebasdepage"/>
      </w:pPr>
      <w:r>
        <w:rPr>
          <w:rStyle w:val="Appelnotedebasdep"/>
        </w:rPr>
        <w:footnoteRef/>
      </w:r>
      <w:r>
        <w:t xml:space="preserve"> PLFSS 2024</w:t>
      </w:r>
    </w:p>
  </w:footnote>
  <w:footnote w:id="10">
    <w:p w14:paraId="1524EDE9" w14:textId="79410AD3" w:rsidR="009C0C4E" w:rsidRDefault="009C0C4E">
      <w:pPr>
        <w:pStyle w:val="Notedebasdepage"/>
      </w:pPr>
      <w:r>
        <w:rPr>
          <w:rStyle w:val="Appelnotedebasdep"/>
        </w:rPr>
        <w:footnoteRef/>
      </w:r>
      <w:r>
        <w:t xml:space="preserve"> </w:t>
      </w:r>
      <w:r w:rsidRPr="009C0C4E">
        <w:t>Dépenses transverses à destination d'institutions publiques</w:t>
      </w:r>
      <w:r>
        <w:t xml:space="preserve">, </w:t>
      </w:r>
      <w:r w:rsidR="00B65EEB">
        <w:t>a</w:t>
      </w:r>
      <w:r w:rsidRPr="009C0C4E">
        <w:t xml:space="preserve">ctivités de production de données et </w:t>
      </w:r>
      <w:r w:rsidR="00B65EEB">
        <w:t>d</w:t>
      </w:r>
      <w:r w:rsidRPr="009C0C4E">
        <w:t>e recherche</w:t>
      </w:r>
      <w:r>
        <w:t xml:space="preserve">, </w:t>
      </w:r>
      <w:r w:rsidR="00B65EEB">
        <w:t>d</w:t>
      </w:r>
      <w:r w:rsidRPr="009C0C4E">
        <w:t>épenses transverses à destination d'institutions privées</w:t>
      </w:r>
      <w:r w:rsidR="00B65EEB">
        <w:t xml:space="preserve">, </w:t>
      </w:r>
      <w:r w:rsidR="00B65EEB" w:rsidRPr="00B65EEB">
        <w:t>Activités de production de données et re recherche</w:t>
      </w:r>
      <w:r w:rsidR="00B65EEB">
        <w:t>, a</w:t>
      </w:r>
      <w:r w:rsidR="00B65EEB" w:rsidRPr="00B65EEB">
        <w:t>ctivités à l'international et organismes internationaux</w:t>
      </w:r>
      <w:r w:rsidR="00B65EEB">
        <w:t>, d</w:t>
      </w:r>
      <w:r w:rsidR="00B65EEB" w:rsidRPr="00B65EEB">
        <w:t>épenses transverses à destination d'autres acteurs (lycéens, boursiers, thésards…)</w:t>
      </w:r>
      <w:r w:rsidR="00B65EEB">
        <w:t>,</w:t>
      </w:r>
      <w:r w:rsidR="00B65EEB" w:rsidRPr="00B65EEB">
        <w:t xml:space="preserve"> </w:t>
      </w:r>
      <w:r w:rsidR="00B65EEB">
        <w:t>a</w:t>
      </w:r>
      <w:r w:rsidR="00B65EEB" w:rsidRPr="00B65EEB">
        <w:t>ctivités de production de données et re recherche</w:t>
      </w:r>
    </w:p>
  </w:footnote>
  <w:footnote w:id="11">
    <w:p w14:paraId="2556FD07" w14:textId="112274BC" w:rsidR="00F5372C" w:rsidRDefault="00F5372C" w:rsidP="00F5372C">
      <w:pPr>
        <w:pStyle w:val="Notedebasdepage"/>
        <w:jc w:val="left"/>
      </w:pPr>
      <w:r>
        <w:rPr>
          <w:rStyle w:val="Appelnotedebasdep"/>
        </w:rPr>
        <w:footnoteRef/>
      </w:r>
      <w:r>
        <w:t xml:space="preserve"> </w:t>
      </w:r>
      <w:hyperlink r:id="rId6" w:history="1">
        <w:r w:rsidRPr="00561881">
          <w:rPr>
            <w:rStyle w:val="Lienhypertexte"/>
          </w:rPr>
          <w:t>https://www.ariege.gouv.fr/Actions-de-l-</w:t>
        </w:r>
        <w:r w:rsidR="00594801">
          <w:rPr>
            <w:rStyle w:val="Lienhypertexte"/>
          </w:rPr>
          <w:t>État</w:t>
        </w:r>
        <w:r w:rsidRPr="00561881">
          <w:rPr>
            <w:rStyle w:val="Lienhypertexte"/>
          </w:rPr>
          <w:t>/Agriculture/Aides-de-la-Politique-Agricole-Commune-PAC/Paiements-et-beneficiaires-de-la-PAC</w:t>
        </w:r>
      </w:hyperlink>
      <w:r>
        <w:t xml:space="preserve"> </w:t>
      </w:r>
    </w:p>
  </w:footnote>
  <w:footnote w:id="12">
    <w:p w14:paraId="176FE2C0" w14:textId="77777777" w:rsidR="00A103CA" w:rsidRDefault="00A103CA" w:rsidP="00A103CA">
      <w:pPr>
        <w:pStyle w:val="Notedebasdepage"/>
        <w:jc w:val="left"/>
      </w:pPr>
      <w:r>
        <w:rPr>
          <w:rStyle w:val="Appelnotedebasdep"/>
        </w:rPr>
        <w:footnoteRef/>
      </w:r>
      <w:r>
        <w:t xml:space="preserve"> </w:t>
      </w:r>
      <w:hyperlink r:id="rId7" w:history="1">
        <w:r w:rsidRPr="00561881">
          <w:rPr>
            <w:rStyle w:val="Lienhypertexte"/>
          </w:rPr>
          <w:t>https://agriculture.gouv.fr/pac-2023-2027-le-plan-strategique-national</w:t>
        </w:r>
      </w:hyperlink>
      <w:r>
        <w:t xml:space="preserve"> </w:t>
      </w:r>
    </w:p>
  </w:footnote>
  <w:footnote w:id="13">
    <w:p w14:paraId="27CBA885" w14:textId="77777777" w:rsidR="001A5DED" w:rsidRDefault="001A5DED" w:rsidP="001A5DED">
      <w:pPr>
        <w:pStyle w:val="Notedebasdepage"/>
      </w:pPr>
      <w:r>
        <w:rPr>
          <w:rStyle w:val="Appelnotedebasdep"/>
        </w:rPr>
        <w:footnoteRef/>
      </w:r>
      <w:r>
        <w:t xml:space="preserve"> </w:t>
      </w:r>
      <w:hyperlink r:id="rId8" w:history="1">
        <w:r w:rsidRPr="001B193E">
          <w:rPr>
            <w:rStyle w:val="Lienhypertexte"/>
          </w:rPr>
          <w:t>https://agriculture.gouv.fr/telecharger/135057</w:t>
        </w:r>
      </w:hyperlink>
      <w:r>
        <w:t xml:space="preserve"> </w:t>
      </w:r>
    </w:p>
  </w:footnote>
  <w:footnote w:id="14">
    <w:p w14:paraId="5DDA8134" w14:textId="77777777" w:rsidR="001A5DED" w:rsidRDefault="001A5DED" w:rsidP="001A5DED">
      <w:pPr>
        <w:pStyle w:val="Notedebasdepage"/>
        <w:jc w:val="left"/>
      </w:pPr>
      <w:r>
        <w:rPr>
          <w:rStyle w:val="Appelnotedebasdep"/>
        </w:rPr>
        <w:footnoteRef/>
      </w:r>
      <w:r>
        <w:t xml:space="preserve"> </w:t>
      </w:r>
      <w:hyperlink r:id="rId9" w:history="1">
        <w:r w:rsidRPr="00561881">
          <w:rPr>
            <w:rStyle w:val="Lienhypertexte"/>
          </w:rPr>
          <w:t>https://www.google.com/url?sa=t&amp;rct=j&amp;q=&amp;esrc=s&amp;source=web&amp;cd=&amp;ved=2ahUKEwjwuOm1v4WEAxWrVqQEHXg3AAAQFnoECBAQAQ&amp;url=https%3A%2F%2Fagriculture.gouv.fr%2Ftelecharger%2F111692%3Ftoken%3D07e53b9558f48592cc77676d240ea66ca9e27ff3dee87140d921ba93cf2c6309&amp;usg=AOvVaw27rLmTsVTvsIP8lf8msCtp&amp;opi=89978449</w:t>
        </w:r>
      </w:hyperlink>
      <w:r>
        <w:t xml:space="preserve"> </w:t>
      </w:r>
    </w:p>
  </w:footnote>
  <w:footnote w:id="15">
    <w:p w14:paraId="229B906B" w14:textId="77777777" w:rsidR="001A5DED" w:rsidRDefault="001A5DED" w:rsidP="001A5DED">
      <w:pPr>
        <w:pStyle w:val="Notedebasdepage"/>
        <w:jc w:val="left"/>
      </w:pPr>
      <w:r>
        <w:rPr>
          <w:rStyle w:val="Appelnotedebasdep"/>
        </w:rPr>
        <w:footnoteRef/>
      </w:r>
      <w:r>
        <w:t xml:space="preserve"> </w:t>
      </w:r>
      <w:hyperlink r:id="rId10" w:history="1">
        <w:r w:rsidRPr="00561881">
          <w:rPr>
            <w:rStyle w:val="Lienhypertexte"/>
          </w:rPr>
          <w:t>https://agreste.agriculture.gouv.fr/agreste-web/download/publication/publie/Dos2302/CCAN-2023-2_6juillet2023_Version%20definitive.pdf</w:t>
        </w:r>
      </w:hyperlink>
      <w:r>
        <w:t xml:space="preserve"> </w:t>
      </w:r>
    </w:p>
  </w:footnote>
  <w:footnote w:id="16">
    <w:p w14:paraId="65541148" w14:textId="605114B4" w:rsidR="006B3054" w:rsidRDefault="006B3054">
      <w:pPr>
        <w:pStyle w:val="Notedebasdepage"/>
      </w:pPr>
      <w:r>
        <w:rPr>
          <w:rStyle w:val="Appelnotedebasdep"/>
        </w:rPr>
        <w:footnoteRef/>
      </w:r>
      <w:r>
        <w:t xml:space="preserve"> S</w:t>
      </w:r>
      <w:r w:rsidRPr="009B19DE">
        <w:t>auf « Aide da</w:t>
      </w:r>
      <w:r w:rsidRPr="0075114B">
        <w:t>ns le secteur des fruits et légumes</w:t>
      </w:r>
      <w:r>
        <w:t> » de la catégorie « </w:t>
      </w:r>
      <w:r w:rsidRPr="0075114B">
        <w:t>Organisation de marché et intervention publique</w:t>
      </w:r>
      <w:r>
        <w:t xml:space="preserve"> », qui va à </w:t>
      </w:r>
      <w:r w:rsidRPr="0075114B">
        <w:t>COLLECTSTOCK</w:t>
      </w:r>
      <w:r>
        <w:t xml:space="preserve"> (</w:t>
      </w:r>
      <w:r w:rsidRPr="00B27774">
        <w:t>Activités de collecte et de stockage de la production agricole brute</w:t>
      </w:r>
      <w:r>
        <w:t>) et « </w:t>
      </w:r>
      <w:r w:rsidRPr="00E86F38">
        <w:t>Aide dans le secteur vitivinicole</w:t>
      </w:r>
      <w:r>
        <w:t> » de la même catégorie, qui va à COOP (</w:t>
      </w:r>
      <w:r w:rsidRPr="00E86F38">
        <w:t>Coopératives agricoles (incl. collecte, stockage, transformation, etc.)</w:t>
      </w:r>
      <w:r>
        <w:t>.</w:t>
      </w:r>
    </w:p>
  </w:footnote>
  <w:footnote w:id="17">
    <w:p w14:paraId="33B34233" w14:textId="1EC732CC" w:rsidR="008F6EDE" w:rsidRDefault="008F6EDE">
      <w:pPr>
        <w:pStyle w:val="Notedebasdepage"/>
      </w:pPr>
      <w:r>
        <w:rPr>
          <w:rStyle w:val="Appelnotedebasdep"/>
        </w:rPr>
        <w:footnoteRef/>
      </w:r>
      <w:r>
        <w:t xml:space="preserve"> </w:t>
      </w:r>
      <w:hyperlink r:id="rId11" w:tgtFrame="_blank" w:tooltip="https://agriculture.gouv.fr/telecharger/135057" w:history="1">
        <w:r w:rsidRPr="00546D18">
          <w:rPr>
            <w:rStyle w:val="Lienhypertexte"/>
          </w:rPr>
          <w:t>https://agriculture.gouv.fr/telecharger/135057</w:t>
        </w:r>
      </w:hyperlink>
      <w:r w:rsidRPr="00546D18">
        <w:t xml:space="preserve"> page 8 </w:t>
      </w:r>
    </w:p>
  </w:footnote>
  <w:footnote w:id="18">
    <w:p w14:paraId="11330237" w14:textId="1AE777F2" w:rsidR="00ED20F2" w:rsidRPr="00733600" w:rsidRDefault="00ED20F2" w:rsidP="00ED20F2">
      <w:pPr>
        <w:pStyle w:val="Notedebasdepage"/>
        <w:jc w:val="left"/>
      </w:pPr>
      <w:r>
        <w:rPr>
          <w:rStyle w:val="Appelnotedebasdep"/>
        </w:rPr>
        <w:footnoteRef/>
      </w:r>
      <w:r>
        <w:t xml:space="preserve"> </w:t>
      </w:r>
      <w:hyperlink r:id="rId12" w:anchor="feaga" w:history="1">
        <w:r w:rsidR="003A7092" w:rsidRPr="003A7092">
          <w:rPr>
            <w:rStyle w:val="Lienhypertexte"/>
          </w:rPr>
          <w:t>https://www.touteleurope.eu/l-europe-et-moi/fonds-europeens-quels-sont-les-programmes-de-financement-de-l-union-europeenne/#feaga</w:t>
        </w:r>
      </w:hyperlink>
    </w:p>
  </w:footnote>
  <w:footnote w:id="19">
    <w:p w14:paraId="2FF3A566" w14:textId="6DB979A2" w:rsidR="00733600" w:rsidRPr="006558B9" w:rsidRDefault="00733600" w:rsidP="00733600">
      <w:pPr>
        <w:rPr>
          <w:sz w:val="18"/>
          <w:szCs w:val="18"/>
        </w:rPr>
      </w:pPr>
      <w:r w:rsidRPr="006558B9">
        <w:rPr>
          <w:rStyle w:val="Appelnotedebasdep"/>
          <w:sz w:val="18"/>
          <w:szCs w:val="18"/>
        </w:rPr>
        <w:footnoteRef/>
      </w:r>
      <w:r w:rsidRPr="006558B9">
        <w:rPr>
          <w:sz w:val="18"/>
          <w:szCs w:val="18"/>
        </w:rPr>
        <w:t>L</w:t>
      </w:r>
      <w:r>
        <w:rPr>
          <w:sz w:val="18"/>
          <w:szCs w:val="18"/>
        </w:rPr>
        <w:t>a liste des bénéficiaires est disponible ici</w:t>
      </w:r>
      <w:r w:rsidRPr="006558B9">
        <w:rPr>
          <w:sz w:val="18"/>
          <w:szCs w:val="18"/>
        </w:rPr>
        <w:t xml:space="preserve"> : European commission Life Projects (2020) Search for life projects </w:t>
      </w:r>
      <w:hyperlink r:id="rId13" w:history="1">
        <w:r w:rsidRPr="006558B9">
          <w:rPr>
            <w:rStyle w:val="Lienhypertexte"/>
            <w:sz w:val="18"/>
            <w:szCs w:val="18"/>
          </w:rPr>
          <w:t>https://ec.europa.eu/environment/life/project/Projects/</w:t>
        </w:r>
      </w:hyperlink>
    </w:p>
    <w:p w14:paraId="0D72DE7B" w14:textId="311D0668" w:rsidR="00733600" w:rsidRDefault="00733600">
      <w:pPr>
        <w:pStyle w:val="Notedebasdepage"/>
      </w:pPr>
    </w:p>
  </w:footnote>
  <w:footnote w:id="20">
    <w:p w14:paraId="3EDC66E6" w14:textId="21942B3D" w:rsidR="006078F1" w:rsidRPr="002F62B0" w:rsidRDefault="006078F1" w:rsidP="006558B9">
      <w:pPr>
        <w:pStyle w:val="Notedebasdepage"/>
        <w:jc w:val="left"/>
      </w:pPr>
      <w:r>
        <w:rPr>
          <w:rStyle w:val="Appelnotedebasdep"/>
        </w:rPr>
        <w:footnoteRef/>
      </w:r>
      <w:r w:rsidR="00575862">
        <w:t xml:space="preserve"> </w:t>
      </w:r>
      <w:r w:rsidR="00575862" w:rsidRPr="00680A40">
        <w:t xml:space="preserve">D'après l'Europe s'engage en France </w:t>
      </w:r>
      <w:r w:rsidR="00575862" w:rsidRPr="00AC2383">
        <w:t>"Liste des opérations synergie 1420 08 2023</w:t>
      </w:r>
      <w:r w:rsidR="00575862">
        <w:t xml:space="preserve"> » : </w:t>
      </w:r>
      <w:r w:rsidR="00DF4D09" w:rsidRPr="00DF4D09">
        <w:t>https://www.europe-en-france.gouv.fr/fr/ressources/liste-des-operations-feder-fse-iej-2014-2020</w:t>
      </w:r>
    </w:p>
  </w:footnote>
  <w:footnote w:id="21">
    <w:p w14:paraId="7502211D" w14:textId="6D65220B" w:rsidR="002F62B0" w:rsidRPr="006558B9" w:rsidRDefault="002F62B0" w:rsidP="006558B9">
      <w:pPr>
        <w:jc w:val="left"/>
        <w:rPr>
          <w:rStyle w:val="ui-provider"/>
          <w:sz w:val="18"/>
          <w:szCs w:val="18"/>
          <w:highlight w:val="yellow"/>
        </w:rPr>
      </w:pPr>
      <w:r w:rsidRPr="006558B9">
        <w:rPr>
          <w:rStyle w:val="Appelnotedebasdep"/>
          <w:sz w:val="18"/>
          <w:szCs w:val="18"/>
        </w:rPr>
        <w:footnoteRef/>
      </w:r>
      <w:r w:rsidRPr="006558B9">
        <w:rPr>
          <w:sz w:val="18"/>
          <w:szCs w:val="18"/>
        </w:rPr>
        <w:t xml:space="preserve"> </w:t>
      </w:r>
      <w:hyperlink r:id="rId14" w:tgtFrame="_blank" w:tooltip="https://www.senat.fr/fileadmin/import/files/fileadmin/fichiers/images/commission/finances/controle/58-2/rapport_plan_de_relance.pdf" w:history="1">
        <w:r w:rsidRPr="006558B9">
          <w:rPr>
            <w:rStyle w:val="Lienhypertexte"/>
            <w:sz w:val="18"/>
            <w:szCs w:val="18"/>
          </w:rPr>
          <w:t>https://www.senat.fr/fileadmin/import/files/fileadmin/Fichiers/Images/commission/finances/Controle/58-2/Rapport_Plan_de_relance.pdf</w:t>
        </w:r>
      </w:hyperlink>
      <w:r w:rsidRPr="006558B9">
        <w:rPr>
          <w:rStyle w:val="ui-provider"/>
          <w:sz w:val="18"/>
          <w:szCs w:val="18"/>
        </w:rPr>
        <w:t xml:space="preserve"> tableau 6 p42. Le ratio :  2,1 Millions € de financement européen estimé sur 3,2 Millions € au total pour programme « Ecologie et biodiversité », c’est-à-dire </w:t>
      </w:r>
      <w:r w:rsidRPr="006558B9">
        <w:rPr>
          <w:rStyle w:val="qv3wpe"/>
          <w:sz w:val="18"/>
          <w:szCs w:val="18"/>
        </w:rPr>
        <w:t>0,65625.</w:t>
      </w:r>
    </w:p>
    <w:p w14:paraId="6A69CEDA" w14:textId="6DBD3C09" w:rsidR="002F62B0" w:rsidRDefault="002F62B0" w:rsidP="002F62B0">
      <w:pPr>
        <w:pStyle w:val="Notedebasdepage"/>
        <w:jc w:val="left"/>
      </w:pPr>
    </w:p>
  </w:footnote>
  <w:footnote w:id="22">
    <w:p w14:paraId="36E7EA15" w14:textId="320CC56E" w:rsidR="005001F8" w:rsidRDefault="005001F8">
      <w:pPr>
        <w:pStyle w:val="Notedebasdepage"/>
      </w:pPr>
      <w:r>
        <w:rPr>
          <w:rStyle w:val="Appelnotedebasdep"/>
        </w:rPr>
        <w:footnoteRef/>
      </w:r>
      <w:r>
        <w:t xml:space="preserve"> Nous supposons que ces aides incluent </w:t>
      </w:r>
      <w:r w:rsidR="007C5CF8">
        <w:t xml:space="preserve">notamment </w:t>
      </w:r>
      <w:r>
        <w:t>les subventions aux abattoirs publics</w:t>
      </w:r>
      <w:r w:rsidR="00950690">
        <w:t xml:space="preserve"> mais </w:t>
      </w:r>
      <w:r w:rsidR="007C5CF8">
        <w:t>le détail de ces aides n’est pas suffisant pour en avoir la certitude.</w:t>
      </w:r>
    </w:p>
  </w:footnote>
  <w:footnote w:id="23">
    <w:p w14:paraId="15630A50" w14:textId="5D1668B8" w:rsidR="008D1A79" w:rsidRDefault="008D1A79">
      <w:pPr>
        <w:pStyle w:val="Notedebasdepage"/>
      </w:pPr>
      <w:r>
        <w:rPr>
          <w:rStyle w:val="Appelnotedebasdep"/>
        </w:rPr>
        <w:footnoteRef/>
      </w:r>
      <w:r>
        <w:t xml:space="preserve"> </w:t>
      </w:r>
      <w:hyperlink r:id="rId15" w:history="1">
        <w:r w:rsidRPr="004F7DB5">
          <w:rPr>
            <w:rStyle w:val="Lienhypertexte"/>
          </w:rPr>
          <w:t>https://librairie.ademe.fr/consommer-autrement/6542-couts-complets-et-recettes-financieres-de-la-restauration-scolaire-quelles-marges-de-manoeuvre-pour-la-transition-ecologique-.html</w:t>
        </w:r>
      </w:hyperlink>
      <w:r>
        <w:t xml:space="preserve"> </w:t>
      </w:r>
    </w:p>
  </w:footnote>
  <w:footnote w:id="24">
    <w:p w14:paraId="5D01096C" w14:textId="15AA47F6" w:rsidR="00EF6A6D" w:rsidRDefault="00EF6A6D">
      <w:pPr>
        <w:pStyle w:val="Notedebasdepage"/>
      </w:pPr>
      <w:r>
        <w:rPr>
          <w:rStyle w:val="Appelnotedebasdep"/>
        </w:rPr>
        <w:footnoteRef/>
      </w:r>
      <w:r>
        <w:t xml:space="preserve"> Source : </w:t>
      </w:r>
      <w:r w:rsidR="00906143">
        <w:t>Sylvestre Nivet (AGORES)</w:t>
      </w:r>
    </w:p>
  </w:footnote>
  <w:footnote w:id="25">
    <w:p w14:paraId="6C6AB2A2" w14:textId="2F0C00E6" w:rsidR="00CF1852" w:rsidRDefault="00CF1852">
      <w:pPr>
        <w:pStyle w:val="Notedebasdepage"/>
      </w:pPr>
      <w:r>
        <w:rPr>
          <w:rStyle w:val="Appelnotedebasdep"/>
        </w:rPr>
        <w:footnoteRef/>
      </w:r>
      <w:r>
        <w:t xml:space="preserve"> </w:t>
      </w:r>
      <w:hyperlink r:id="rId16" w:history="1">
        <w:r w:rsidR="00C82958" w:rsidRPr="00D63207">
          <w:rPr>
            <w:rStyle w:val="Lienhypertexte"/>
          </w:rPr>
          <w:t>https://www.data.gouv.fr/fr/datasets/valeur-du-point-dindice-majore-de-la-fonction-publique/</w:t>
        </w:r>
      </w:hyperlink>
      <w:r w:rsidR="00C82958">
        <w:t xml:space="preserve"> </w:t>
      </w:r>
    </w:p>
  </w:footnote>
  <w:footnote w:id="26">
    <w:p w14:paraId="6D30C8CD" w14:textId="3FBC24E3" w:rsidR="00CF1852" w:rsidRDefault="00CF1852">
      <w:pPr>
        <w:pStyle w:val="Notedebasdepage"/>
      </w:pPr>
      <w:r>
        <w:rPr>
          <w:rStyle w:val="Appelnotedebasdep"/>
        </w:rPr>
        <w:footnoteRef/>
      </w:r>
      <w:r>
        <w:t xml:space="preserve"> </w:t>
      </w:r>
      <w:hyperlink r:id="rId17" w:history="1">
        <w:r w:rsidRPr="004F7DB5">
          <w:rPr>
            <w:rStyle w:val="Lienhypertexte"/>
          </w:rPr>
          <w:t>https://librairie.ademe.fr/consommer-autrement/6542-couts-complets-et-recettes-financieres-de-la-restauration-scolaire-quelles-marges-de-manoeuvre-pour-la-transition-ecologique-.html</w:t>
        </w:r>
      </w:hyperlink>
    </w:p>
  </w:footnote>
  <w:footnote w:id="27">
    <w:p w14:paraId="34C1DAD9" w14:textId="77777777" w:rsidR="00A90A59" w:rsidRPr="009C6734" w:rsidRDefault="00A90A59" w:rsidP="00A90A59">
      <w:pPr>
        <w:spacing w:after="0"/>
        <w:rPr>
          <w:highlight w:val="yellow"/>
        </w:rPr>
      </w:pPr>
      <w:r w:rsidRPr="007F6905">
        <w:rPr>
          <w:rStyle w:val="Appelnotedebasdep"/>
          <w:sz w:val="18"/>
          <w:szCs w:val="18"/>
        </w:rPr>
        <w:footnoteRef/>
      </w:r>
      <w:r w:rsidRPr="007F6905">
        <w:rPr>
          <w:sz w:val="18"/>
          <w:szCs w:val="18"/>
        </w:rPr>
        <w:t xml:space="preserve"> IGAS. « La lutte contre la précarité alimentaire : Evolution du soutien public à une politique sociale, agricole et de santé publique », décembre 2019. </w:t>
      </w:r>
      <w:hyperlink r:id="rId18" w:history="1">
        <w:r w:rsidRPr="009C6734">
          <w:rPr>
            <w:rStyle w:val="Lienhypertexte"/>
            <w:sz w:val="18"/>
            <w:szCs w:val="18"/>
          </w:rPr>
          <w:t>https://www.igas.gouv.fr/IMG/pdf/2019-069R-P.pdf</w:t>
        </w:r>
      </w:hyperlink>
      <w:r>
        <w:rPr>
          <w:sz w:val="18"/>
          <w:szCs w:val="18"/>
        </w:rPr>
        <w:t xml:space="preserve"> </w:t>
      </w:r>
    </w:p>
  </w:footnote>
  <w:footnote w:id="28">
    <w:p w14:paraId="68A50AC1" w14:textId="1A41EC6D" w:rsidR="00325316" w:rsidRDefault="00325316">
      <w:pPr>
        <w:pStyle w:val="Notedebasdepage"/>
      </w:pPr>
      <w:r>
        <w:rPr>
          <w:rStyle w:val="Appelnotedebasdep"/>
        </w:rPr>
        <w:footnoteRef/>
      </w:r>
      <w:r>
        <w:t xml:space="preserve"> Source : Sylvestre Nivet (AGORES)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72A103" w14:paraId="1E174222" w14:textId="77777777" w:rsidTr="006558B9">
      <w:trPr>
        <w:trHeight w:val="300"/>
      </w:trPr>
      <w:tc>
        <w:tcPr>
          <w:tcW w:w="3210" w:type="dxa"/>
        </w:tcPr>
        <w:p w14:paraId="6D51DF9B" w14:textId="6C56DE3E" w:rsidR="2072A103" w:rsidRDefault="2072A103" w:rsidP="006558B9">
          <w:pPr>
            <w:pStyle w:val="En-tte"/>
            <w:ind w:left="-115"/>
            <w:jc w:val="left"/>
          </w:pPr>
        </w:p>
      </w:tc>
      <w:tc>
        <w:tcPr>
          <w:tcW w:w="3210" w:type="dxa"/>
        </w:tcPr>
        <w:p w14:paraId="660E5A00" w14:textId="0FB7A6C8" w:rsidR="2072A103" w:rsidRDefault="2072A103" w:rsidP="006558B9">
          <w:pPr>
            <w:pStyle w:val="En-tte"/>
            <w:jc w:val="center"/>
          </w:pPr>
        </w:p>
      </w:tc>
      <w:tc>
        <w:tcPr>
          <w:tcW w:w="3210" w:type="dxa"/>
        </w:tcPr>
        <w:p w14:paraId="7FA9EE0F" w14:textId="4F88A18F" w:rsidR="2072A103" w:rsidRDefault="2072A103" w:rsidP="006558B9">
          <w:pPr>
            <w:pStyle w:val="En-tte"/>
            <w:ind w:right="-115"/>
            <w:jc w:val="right"/>
          </w:pPr>
        </w:p>
      </w:tc>
    </w:tr>
  </w:tbl>
  <w:p w14:paraId="4C47B15D" w14:textId="240A278B" w:rsidR="009D3292" w:rsidRDefault="009D32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072A103" w14:paraId="4915D06E" w14:textId="77777777" w:rsidTr="006558B9">
      <w:trPr>
        <w:trHeight w:val="300"/>
      </w:trPr>
      <w:tc>
        <w:tcPr>
          <w:tcW w:w="3210" w:type="dxa"/>
        </w:tcPr>
        <w:p w14:paraId="2A2343CA" w14:textId="585B5F77" w:rsidR="2072A103" w:rsidRDefault="2072A103" w:rsidP="006558B9">
          <w:pPr>
            <w:pStyle w:val="En-tte"/>
            <w:ind w:left="-115"/>
            <w:jc w:val="left"/>
          </w:pPr>
        </w:p>
      </w:tc>
      <w:tc>
        <w:tcPr>
          <w:tcW w:w="3210" w:type="dxa"/>
        </w:tcPr>
        <w:p w14:paraId="2EDA0532" w14:textId="1C6533B9" w:rsidR="2072A103" w:rsidRDefault="2072A103" w:rsidP="006558B9">
          <w:pPr>
            <w:pStyle w:val="En-tte"/>
            <w:jc w:val="center"/>
          </w:pPr>
        </w:p>
      </w:tc>
      <w:tc>
        <w:tcPr>
          <w:tcW w:w="3210" w:type="dxa"/>
        </w:tcPr>
        <w:p w14:paraId="2F732C07" w14:textId="387B5050" w:rsidR="2072A103" w:rsidRDefault="2072A103" w:rsidP="006558B9">
          <w:pPr>
            <w:pStyle w:val="En-tte"/>
            <w:ind w:right="-115"/>
            <w:jc w:val="right"/>
          </w:pPr>
        </w:p>
      </w:tc>
    </w:tr>
  </w:tbl>
  <w:p w14:paraId="76BD0B84" w14:textId="73EC3A13" w:rsidR="009D3292" w:rsidRDefault="009D32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3F6E"/>
    <w:multiLevelType w:val="multilevel"/>
    <w:tmpl w:val="3B162660"/>
    <w:styleLink w:val="Style1"/>
    <w:lvl w:ilvl="0">
      <w:start w:val="1"/>
      <w:numFmt w:val="bullet"/>
      <w:lvlText w:val=""/>
      <w:lvlJc w:val="left"/>
      <w:pPr>
        <w:ind w:left="284" w:hanging="284"/>
      </w:pPr>
      <w:rPr>
        <w:rFonts w:ascii="Symbol" w:hAnsi="Symbol" w:hint="default"/>
        <w:color w:val="auto"/>
        <w:sz w:val="22"/>
      </w:rPr>
    </w:lvl>
    <w:lvl w:ilvl="1">
      <w:start w:val="1"/>
      <w:numFmt w:val="bullet"/>
      <w:lvlText w:val=""/>
      <w:lvlJc w:val="left"/>
      <w:pPr>
        <w:ind w:left="851" w:hanging="284"/>
      </w:pPr>
      <w:rPr>
        <w:rFonts w:ascii="Symbol" w:hAnsi="Symbol" w:hint="default"/>
        <w:color w:val="auto"/>
      </w:rPr>
    </w:lvl>
    <w:lvl w:ilvl="2">
      <w:start w:val="1"/>
      <w:numFmt w:val="bullet"/>
      <w:lvlText w:val=""/>
      <w:lvlJc w:val="left"/>
      <w:pPr>
        <w:ind w:left="1418" w:hanging="284"/>
      </w:pPr>
      <w:rPr>
        <w:rFonts w:ascii="Symbol" w:hAnsi="Symbol" w:hint="default"/>
        <w:color w:val="auto"/>
      </w:rPr>
    </w:lvl>
    <w:lvl w:ilvl="3">
      <w:start w:val="1"/>
      <w:numFmt w:val="bullet"/>
      <w:lvlText w:val=""/>
      <w:lvlJc w:val="left"/>
      <w:pPr>
        <w:ind w:left="1985" w:hanging="284"/>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4D5DD8"/>
    <w:multiLevelType w:val="hybridMultilevel"/>
    <w:tmpl w:val="8532694C"/>
    <w:lvl w:ilvl="0" w:tplc="F5845448">
      <w:start w:val="1"/>
      <w:numFmt w:val="bullet"/>
      <w:lvlText w:val=""/>
      <w:lvlJc w:val="left"/>
      <w:pPr>
        <w:ind w:left="720" w:hanging="360"/>
      </w:pPr>
      <w:rPr>
        <w:rFonts w:ascii="Symbol" w:hAnsi="Symbol" w:hint="default"/>
      </w:rPr>
    </w:lvl>
    <w:lvl w:ilvl="1" w:tplc="9E3861FC">
      <w:start w:val="1"/>
      <w:numFmt w:val="bullet"/>
      <w:lvlText w:val="o"/>
      <w:lvlJc w:val="left"/>
      <w:pPr>
        <w:ind w:left="1440" w:hanging="360"/>
      </w:pPr>
      <w:rPr>
        <w:rFonts w:ascii="Courier New" w:hAnsi="Courier New" w:hint="default"/>
      </w:rPr>
    </w:lvl>
    <w:lvl w:ilvl="2" w:tplc="7E78237A">
      <w:start w:val="1"/>
      <w:numFmt w:val="bullet"/>
      <w:lvlText w:val=""/>
      <w:lvlJc w:val="left"/>
      <w:pPr>
        <w:ind w:left="2160" w:hanging="360"/>
      </w:pPr>
      <w:rPr>
        <w:rFonts w:ascii="Wingdings" w:hAnsi="Wingdings" w:hint="default"/>
      </w:rPr>
    </w:lvl>
    <w:lvl w:ilvl="3" w:tplc="4CAA9796">
      <w:start w:val="1"/>
      <w:numFmt w:val="bullet"/>
      <w:lvlText w:val=""/>
      <w:lvlJc w:val="left"/>
      <w:pPr>
        <w:ind w:left="2880" w:hanging="360"/>
      </w:pPr>
      <w:rPr>
        <w:rFonts w:ascii="Symbol" w:hAnsi="Symbol" w:hint="default"/>
      </w:rPr>
    </w:lvl>
    <w:lvl w:ilvl="4" w:tplc="0448BD28">
      <w:start w:val="1"/>
      <w:numFmt w:val="bullet"/>
      <w:lvlText w:val="o"/>
      <w:lvlJc w:val="left"/>
      <w:pPr>
        <w:ind w:left="3600" w:hanging="360"/>
      </w:pPr>
      <w:rPr>
        <w:rFonts w:ascii="Courier New" w:hAnsi="Courier New" w:hint="default"/>
      </w:rPr>
    </w:lvl>
    <w:lvl w:ilvl="5" w:tplc="2DFA2600">
      <w:start w:val="1"/>
      <w:numFmt w:val="bullet"/>
      <w:lvlText w:val=""/>
      <w:lvlJc w:val="left"/>
      <w:pPr>
        <w:ind w:left="4320" w:hanging="360"/>
      </w:pPr>
      <w:rPr>
        <w:rFonts w:ascii="Wingdings" w:hAnsi="Wingdings" w:hint="default"/>
      </w:rPr>
    </w:lvl>
    <w:lvl w:ilvl="6" w:tplc="44F251DE">
      <w:start w:val="1"/>
      <w:numFmt w:val="bullet"/>
      <w:lvlText w:val=""/>
      <w:lvlJc w:val="left"/>
      <w:pPr>
        <w:ind w:left="5040" w:hanging="360"/>
      </w:pPr>
      <w:rPr>
        <w:rFonts w:ascii="Symbol" w:hAnsi="Symbol" w:hint="default"/>
      </w:rPr>
    </w:lvl>
    <w:lvl w:ilvl="7" w:tplc="2E583D3C">
      <w:start w:val="1"/>
      <w:numFmt w:val="bullet"/>
      <w:lvlText w:val="o"/>
      <w:lvlJc w:val="left"/>
      <w:pPr>
        <w:ind w:left="5760" w:hanging="360"/>
      </w:pPr>
      <w:rPr>
        <w:rFonts w:ascii="Courier New" w:hAnsi="Courier New" w:hint="default"/>
      </w:rPr>
    </w:lvl>
    <w:lvl w:ilvl="8" w:tplc="7B70ED20">
      <w:start w:val="1"/>
      <w:numFmt w:val="bullet"/>
      <w:lvlText w:val=""/>
      <w:lvlJc w:val="left"/>
      <w:pPr>
        <w:ind w:left="6480" w:hanging="360"/>
      </w:pPr>
      <w:rPr>
        <w:rFonts w:ascii="Wingdings" w:hAnsi="Wingdings" w:hint="default"/>
      </w:rPr>
    </w:lvl>
  </w:abstractNum>
  <w:abstractNum w:abstractNumId="2" w15:restartNumberingAfterBreak="0">
    <w:nsid w:val="04823021"/>
    <w:multiLevelType w:val="hybridMultilevel"/>
    <w:tmpl w:val="2708CD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61B24"/>
    <w:multiLevelType w:val="hybridMultilevel"/>
    <w:tmpl w:val="B792E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D482F"/>
    <w:multiLevelType w:val="multilevel"/>
    <w:tmpl w:val="595A5C5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DDA2519"/>
    <w:multiLevelType w:val="hybridMultilevel"/>
    <w:tmpl w:val="C3DA0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F3451"/>
    <w:multiLevelType w:val="hybridMultilevel"/>
    <w:tmpl w:val="2E5627CE"/>
    <w:lvl w:ilvl="0" w:tplc="040C0001">
      <w:start w:val="1"/>
      <w:numFmt w:val="bullet"/>
      <w:lvlText w:val=""/>
      <w:lvlJc w:val="left"/>
      <w:pPr>
        <w:ind w:left="36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549A5"/>
    <w:multiLevelType w:val="hybridMultilevel"/>
    <w:tmpl w:val="FFFFFFFF"/>
    <w:lvl w:ilvl="0" w:tplc="1C904086">
      <w:start w:val="1"/>
      <w:numFmt w:val="bullet"/>
      <w:lvlText w:val=""/>
      <w:lvlJc w:val="left"/>
      <w:pPr>
        <w:ind w:left="720" w:hanging="360"/>
      </w:pPr>
      <w:rPr>
        <w:rFonts w:ascii="Symbol" w:hAnsi="Symbol" w:hint="default"/>
      </w:rPr>
    </w:lvl>
    <w:lvl w:ilvl="1" w:tplc="E7A65FEE">
      <w:start w:val="1"/>
      <w:numFmt w:val="bullet"/>
      <w:lvlText w:val="o"/>
      <w:lvlJc w:val="left"/>
      <w:pPr>
        <w:ind w:left="1440" w:hanging="360"/>
      </w:pPr>
      <w:rPr>
        <w:rFonts w:ascii="Courier New" w:hAnsi="Courier New" w:hint="default"/>
      </w:rPr>
    </w:lvl>
    <w:lvl w:ilvl="2" w:tplc="99A837B8">
      <w:start w:val="1"/>
      <w:numFmt w:val="bullet"/>
      <w:lvlText w:val=""/>
      <w:lvlJc w:val="left"/>
      <w:pPr>
        <w:ind w:left="2160" w:hanging="360"/>
      </w:pPr>
      <w:rPr>
        <w:rFonts w:ascii="Wingdings" w:hAnsi="Wingdings" w:hint="default"/>
      </w:rPr>
    </w:lvl>
    <w:lvl w:ilvl="3" w:tplc="1B780BAC">
      <w:start w:val="1"/>
      <w:numFmt w:val="bullet"/>
      <w:lvlText w:val=""/>
      <w:lvlJc w:val="left"/>
      <w:pPr>
        <w:ind w:left="2880" w:hanging="360"/>
      </w:pPr>
      <w:rPr>
        <w:rFonts w:ascii="Symbol" w:hAnsi="Symbol" w:hint="default"/>
      </w:rPr>
    </w:lvl>
    <w:lvl w:ilvl="4" w:tplc="250A62B6">
      <w:start w:val="1"/>
      <w:numFmt w:val="bullet"/>
      <w:lvlText w:val="o"/>
      <w:lvlJc w:val="left"/>
      <w:pPr>
        <w:ind w:left="3600" w:hanging="360"/>
      </w:pPr>
      <w:rPr>
        <w:rFonts w:ascii="Courier New" w:hAnsi="Courier New" w:hint="default"/>
      </w:rPr>
    </w:lvl>
    <w:lvl w:ilvl="5" w:tplc="80466452">
      <w:start w:val="1"/>
      <w:numFmt w:val="bullet"/>
      <w:lvlText w:val=""/>
      <w:lvlJc w:val="left"/>
      <w:pPr>
        <w:ind w:left="4320" w:hanging="360"/>
      </w:pPr>
      <w:rPr>
        <w:rFonts w:ascii="Wingdings" w:hAnsi="Wingdings" w:hint="default"/>
      </w:rPr>
    </w:lvl>
    <w:lvl w:ilvl="6" w:tplc="2A7E7C50">
      <w:start w:val="1"/>
      <w:numFmt w:val="bullet"/>
      <w:lvlText w:val=""/>
      <w:lvlJc w:val="left"/>
      <w:pPr>
        <w:ind w:left="5040" w:hanging="360"/>
      </w:pPr>
      <w:rPr>
        <w:rFonts w:ascii="Symbol" w:hAnsi="Symbol" w:hint="default"/>
      </w:rPr>
    </w:lvl>
    <w:lvl w:ilvl="7" w:tplc="8682BB0A">
      <w:start w:val="1"/>
      <w:numFmt w:val="bullet"/>
      <w:lvlText w:val="o"/>
      <w:lvlJc w:val="left"/>
      <w:pPr>
        <w:ind w:left="5760" w:hanging="360"/>
      </w:pPr>
      <w:rPr>
        <w:rFonts w:ascii="Courier New" w:hAnsi="Courier New" w:hint="default"/>
      </w:rPr>
    </w:lvl>
    <w:lvl w:ilvl="8" w:tplc="0570D7B8">
      <w:start w:val="1"/>
      <w:numFmt w:val="bullet"/>
      <w:lvlText w:val=""/>
      <w:lvlJc w:val="left"/>
      <w:pPr>
        <w:ind w:left="6480" w:hanging="360"/>
      </w:pPr>
      <w:rPr>
        <w:rFonts w:ascii="Wingdings" w:hAnsi="Wingdings" w:hint="default"/>
      </w:rPr>
    </w:lvl>
  </w:abstractNum>
  <w:abstractNum w:abstractNumId="8" w15:restartNumberingAfterBreak="0">
    <w:nsid w:val="19D0A706"/>
    <w:multiLevelType w:val="hybridMultilevel"/>
    <w:tmpl w:val="FFFFFFFF"/>
    <w:lvl w:ilvl="0" w:tplc="BB543404">
      <w:start w:val="1"/>
      <w:numFmt w:val="decimal"/>
      <w:lvlText w:val="%1."/>
      <w:lvlJc w:val="left"/>
      <w:pPr>
        <w:ind w:left="720" w:hanging="360"/>
      </w:pPr>
    </w:lvl>
    <w:lvl w:ilvl="1" w:tplc="DA12A54E">
      <w:start w:val="1"/>
      <w:numFmt w:val="lowerLetter"/>
      <w:lvlText w:val="%2."/>
      <w:lvlJc w:val="left"/>
      <w:pPr>
        <w:ind w:left="1440" w:hanging="360"/>
      </w:pPr>
    </w:lvl>
    <w:lvl w:ilvl="2" w:tplc="179E6CD2">
      <w:start w:val="1"/>
      <w:numFmt w:val="lowerRoman"/>
      <w:lvlText w:val="%3."/>
      <w:lvlJc w:val="right"/>
      <w:pPr>
        <w:ind w:left="2160" w:hanging="180"/>
      </w:pPr>
    </w:lvl>
    <w:lvl w:ilvl="3" w:tplc="123AB766">
      <w:start w:val="1"/>
      <w:numFmt w:val="decimal"/>
      <w:lvlText w:val="%4."/>
      <w:lvlJc w:val="left"/>
      <w:pPr>
        <w:ind w:left="2880" w:hanging="360"/>
      </w:pPr>
    </w:lvl>
    <w:lvl w:ilvl="4" w:tplc="41BAD1CE">
      <w:start w:val="1"/>
      <w:numFmt w:val="lowerLetter"/>
      <w:lvlText w:val="%5."/>
      <w:lvlJc w:val="left"/>
      <w:pPr>
        <w:ind w:left="3600" w:hanging="360"/>
      </w:pPr>
    </w:lvl>
    <w:lvl w:ilvl="5" w:tplc="7A546698">
      <w:start w:val="1"/>
      <w:numFmt w:val="lowerRoman"/>
      <w:lvlText w:val="%6."/>
      <w:lvlJc w:val="right"/>
      <w:pPr>
        <w:ind w:left="4320" w:hanging="180"/>
      </w:pPr>
    </w:lvl>
    <w:lvl w:ilvl="6" w:tplc="3DA2E058">
      <w:start w:val="1"/>
      <w:numFmt w:val="decimal"/>
      <w:lvlText w:val="%7."/>
      <w:lvlJc w:val="left"/>
      <w:pPr>
        <w:ind w:left="5040" w:hanging="360"/>
      </w:pPr>
    </w:lvl>
    <w:lvl w:ilvl="7" w:tplc="0A4EB786">
      <w:start w:val="1"/>
      <w:numFmt w:val="lowerLetter"/>
      <w:lvlText w:val="%8."/>
      <w:lvlJc w:val="left"/>
      <w:pPr>
        <w:ind w:left="5760" w:hanging="360"/>
      </w:pPr>
    </w:lvl>
    <w:lvl w:ilvl="8" w:tplc="35D81080">
      <w:start w:val="1"/>
      <w:numFmt w:val="lowerRoman"/>
      <w:lvlText w:val="%9."/>
      <w:lvlJc w:val="right"/>
      <w:pPr>
        <w:ind w:left="6480" w:hanging="180"/>
      </w:pPr>
    </w:lvl>
  </w:abstractNum>
  <w:abstractNum w:abstractNumId="9" w15:restartNumberingAfterBreak="0">
    <w:nsid w:val="1B4900F5"/>
    <w:multiLevelType w:val="hybridMultilevel"/>
    <w:tmpl w:val="D4FE8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540CF"/>
    <w:multiLevelType w:val="multilevel"/>
    <w:tmpl w:val="F6B0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17636"/>
    <w:multiLevelType w:val="hybridMultilevel"/>
    <w:tmpl w:val="FFFFFFFF"/>
    <w:lvl w:ilvl="0" w:tplc="6E6A55B4">
      <w:start w:val="1"/>
      <w:numFmt w:val="bullet"/>
      <w:lvlText w:val=""/>
      <w:lvlJc w:val="left"/>
      <w:pPr>
        <w:ind w:left="720" w:hanging="360"/>
      </w:pPr>
      <w:rPr>
        <w:rFonts w:ascii="Symbol" w:hAnsi="Symbol" w:hint="default"/>
      </w:rPr>
    </w:lvl>
    <w:lvl w:ilvl="1" w:tplc="3D02DFEA">
      <w:start w:val="1"/>
      <w:numFmt w:val="bullet"/>
      <w:lvlText w:val="o"/>
      <w:lvlJc w:val="left"/>
      <w:pPr>
        <w:ind w:left="1440" w:hanging="360"/>
      </w:pPr>
      <w:rPr>
        <w:rFonts w:ascii="Courier New" w:hAnsi="Courier New" w:hint="default"/>
      </w:rPr>
    </w:lvl>
    <w:lvl w:ilvl="2" w:tplc="BADC1F34">
      <w:start w:val="1"/>
      <w:numFmt w:val="bullet"/>
      <w:lvlText w:val=""/>
      <w:lvlJc w:val="left"/>
      <w:pPr>
        <w:ind w:left="2160" w:hanging="360"/>
      </w:pPr>
      <w:rPr>
        <w:rFonts w:ascii="Wingdings" w:hAnsi="Wingdings" w:hint="default"/>
      </w:rPr>
    </w:lvl>
    <w:lvl w:ilvl="3" w:tplc="6342661E">
      <w:start w:val="1"/>
      <w:numFmt w:val="bullet"/>
      <w:lvlText w:val=""/>
      <w:lvlJc w:val="left"/>
      <w:pPr>
        <w:ind w:left="2880" w:hanging="360"/>
      </w:pPr>
      <w:rPr>
        <w:rFonts w:ascii="Symbol" w:hAnsi="Symbol" w:hint="default"/>
      </w:rPr>
    </w:lvl>
    <w:lvl w:ilvl="4" w:tplc="0766262C">
      <w:start w:val="1"/>
      <w:numFmt w:val="bullet"/>
      <w:lvlText w:val="o"/>
      <w:lvlJc w:val="left"/>
      <w:pPr>
        <w:ind w:left="3600" w:hanging="360"/>
      </w:pPr>
      <w:rPr>
        <w:rFonts w:ascii="Courier New" w:hAnsi="Courier New" w:hint="default"/>
      </w:rPr>
    </w:lvl>
    <w:lvl w:ilvl="5" w:tplc="B0B0E468">
      <w:start w:val="1"/>
      <w:numFmt w:val="bullet"/>
      <w:lvlText w:val=""/>
      <w:lvlJc w:val="left"/>
      <w:pPr>
        <w:ind w:left="4320" w:hanging="360"/>
      </w:pPr>
      <w:rPr>
        <w:rFonts w:ascii="Wingdings" w:hAnsi="Wingdings" w:hint="default"/>
      </w:rPr>
    </w:lvl>
    <w:lvl w:ilvl="6" w:tplc="F9469FC8">
      <w:start w:val="1"/>
      <w:numFmt w:val="bullet"/>
      <w:lvlText w:val=""/>
      <w:lvlJc w:val="left"/>
      <w:pPr>
        <w:ind w:left="5040" w:hanging="360"/>
      </w:pPr>
      <w:rPr>
        <w:rFonts w:ascii="Symbol" w:hAnsi="Symbol" w:hint="default"/>
      </w:rPr>
    </w:lvl>
    <w:lvl w:ilvl="7" w:tplc="3BEE6A92">
      <w:start w:val="1"/>
      <w:numFmt w:val="bullet"/>
      <w:lvlText w:val="o"/>
      <w:lvlJc w:val="left"/>
      <w:pPr>
        <w:ind w:left="5760" w:hanging="360"/>
      </w:pPr>
      <w:rPr>
        <w:rFonts w:ascii="Courier New" w:hAnsi="Courier New" w:hint="default"/>
      </w:rPr>
    </w:lvl>
    <w:lvl w:ilvl="8" w:tplc="DE9EF598">
      <w:start w:val="1"/>
      <w:numFmt w:val="bullet"/>
      <w:lvlText w:val=""/>
      <w:lvlJc w:val="left"/>
      <w:pPr>
        <w:ind w:left="6480" w:hanging="360"/>
      </w:pPr>
      <w:rPr>
        <w:rFonts w:ascii="Wingdings" w:hAnsi="Wingdings" w:hint="default"/>
      </w:rPr>
    </w:lvl>
  </w:abstractNum>
  <w:abstractNum w:abstractNumId="12" w15:restartNumberingAfterBreak="0">
    <w:nsid w:val="27053184"/>
    <w:multiLevelType w:val="hybridMultilevel"/>
    <w:tmpl w:val="D5547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20FB5"/>
    <w:multiLevelType w:val="hybridMultilevel"/>
    <w:tmpl w:val="B9E40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968DA"/>
    <w:multiLevelType w:val="hybridMultilevel"/>
    <w:tmpl w:val="21FAF444"/>
    <w:lvl w:ilvl="0" w:tplc="581CBA98">
      <w:start w:val="1"/>
      <w:numFmt w:val="decimal"/>
      <w:lvlText w:val="%1."/>
      <w:lvlJc w:val="left"/>
      <w:pPr>
        <w:ind w:left="720" w:hanging="360"/>
      </w:pPr>
    </w:lvl>
    <w:lvl w:ilvl="1" w:tplc="D11CC0BE">
      <w:start w:val="1"/>
      <w:numFmt w:val="lowerLetter"/>
      <w:lvlText w:val="%2."/>
      <w:lvlJc w:val="left"/>
      <w:pPr>
        <w:ind w:left="1440" w:hanging="360"/>
      </w:pPr>
    </w:lvl>
    <w:lvl w:ilvl="2" w:tplc="F296F00C">
      <w:start w:val="1"/>
      <w:numFmt w:val="lowerRoman"/>
      <w:lvlText w:val="%3."/>
      <w:lvlJc w:val="right"/>
      <w:pPr>
        <w:ind w:left="2160" w:hanging="180"/>
      </w:pPr>
    </w:lvl>
    <w:lvl w:ilvl="3" w:tplc="91C26B26">
      <w:start w:val="1"/>
      <w:numFmt w:val="decimal"/>
      <w:lvlText w:val="%4."/>
      <w:lvlJc w:val="left"/>
      <w:pPr>
        <w:ind w:left="2880" w:hanging="360"/>
      </w:pPr>
    </w:lvl>
    <w:lvl w:ilvl="4" w:tplc="028C25DA">
      <w:start w:val="1"/>
      <w:numFmt w:val="lowerLetter"/>
      <w:lvlText w:val="%5."/>
      <w:lvlJc w:val="left"/>
      <w:pPr>
        <w:ind w:left="3600" w:hanging="360"/>
      </w:pPr>
    </w:lvl>
    <w:lvl w:ilvl="5" w:tplc="854C1D90">
      <w:start w:val="1"/>
      <w:numFmt w:val="lowerRoman"/>
      <w:lvlText w:val="%6."/>
      <w:lvlJc w:val="right"/>
      <w:pPr>
        <w:ind w:left="4320" w:hanging="180"/>
      </w:pPr>
    </w:lvl>
    <w:lvl w:ilvl="6" w:tplc="80C8F3E6">
      <w:start w:val="1"/>
      <w:numFmt w:val="decimal"/>
      <w:lvlText w:val="%7."/>
      <w:lvlJc w:val="left"/>
      <w:pPr>
        <w:ind w:left="5040" w:hanging="360"/>
      </w:pPr>
    </w:lvl>
    <w:lvl w:ilvl="7" w:tplc="80DC0646">
      <w:start w:val="1"/>
      <w:numFmt w:val="lowerLetter"/>
      <w:lvlText w:val="%8."/>
      <w:lvlJc w:val="left"/>
      <w:pPr>
        <w:ind w:left="5760" w:hanging="360"/>
      </w:pPr>
    </w:lvl>
    <w:lvl w:ilvl="8" w:tplc="F7D2F10A">
      <w:start w:val="1"/>
      <w:numFmt w:val="lowerRoman"/>
      <w:lvlText w:val="%9."/>
      <w:lvlJc w:val="right"/>
      <w:pPr>
        <w:ind w:left="6480" w:hanging="180"/>
      </w:pPr>
    </w:lvl>
  </w:abstractNum>
  <w:abstractNum w:abstractNumId="15" w15:restartNumberingAfterBreak="0">
    <w:nsid w:val="2FAC107A"/>
    <w:multiLevelType w:val="hybridMultilevel"/>
    <w:tmpl w:val="B1580A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E5A512"/>
    <w:multiLevelType w:val="hybridMultilevel"/>
    <w:tmpl w:val="FFFFFFFF"/>
    <w:lvl w:ilvl="0" w:tplc="48266EBC">
      <w:start w:val="1"/>
      <w:numFmt w:val="bullet"/>
      <w:lvlText w:val=""/>
      <w:lvlJc w:val="left"/>
      <w:pPr>
        <w:ind w:left="720" w:hanging="360"/>
      </w:pPr>
      <w:rPr>
        <w:rFonts w:ascii="Symbol" w:hAnsi="Symbol" w:hint="default"/>
      </w:rPr>
    </w:lvl>
    <w:lvl w:ilvl="1" w:tplc="8DD4964A">
      <w:start w:val="1"/>
      <w:numFmt w:val="bullet"/>
      <w:lvlText w:val="o"/>
      <w:lvlJc w:val="left"/>
      <w:pPr>
        <w:ind w:left="1440" w:hanging="360"/>
      </w:pPr>
      <w:rPr>
        <w:rFonts w:ascii="Courier New" w:hAnsi="Courier New" w:hint="default"/>
      </w:rPr>
    </w:lvl>
    <w:lvl w:ilvl="2" w:tplc="13AAD9A6">
      <w:start w:val="1"/>
      <w:numFmt w:val="bullet"/>
      <w:lvlText w:val=""/>
      <w:lvlJc w:val="left"/>
      <w:pPr>
        <w:ind w:left="2160" w:hanging="360"/>
      </w:pPr>
      <w:rPr>
        <w:rFonts w:ascii="Wingdings" w:hAnsi="Wingdings" w:hint="default"/>
      </w:rPr>
    </w:lvl>
    <w:lvl w:ilvl="3" w:tplc="6262C4EE">
      <w:start w:val="1"/>
      <w:numFmt w:val="bullet"/>
      <w:lvlText w:val=""/>
      <w:lvlJc w:val="left"/>
      <w:pPr>
        <w:ind w:left="2880" w:hanging="360"/>
      </w:pPr>
      <w:rPr>
        <w:rFonts w:ascii="Symbol" w:hAnsi="Symbol" w:hint="default"/>
      </w:rPr>
    </w:lvl>
    <w:lvl w:ilvl="4" w:tplc="6128B27A">
      <w:start w:val="1"/>
      <w:numFmt w:val="bullet"/>
      <w:lvlText w:val="o"/>
      <w:lvlJc w:val="left"/>
      <w:pPr>
        <w:ind w:left="3600" w:hanging="360"/>
      </w:pPr>
      <w:rPr>
        <w:rFonts w:ascii="Courier New" w:hAnsi="Courier New" w:hint="default"/>
      </w:rPr>
    </w:lvl>
    <w:lvl w:ilvl="5" w:tplc="7E6C5E82">
      <w:start w:val="1"/>
      <w:numFmt w:val="bullet"/>
      <w:lvlText w:val=""/>
      <w:lvlJc w:val="left"/>
      <w:pPr>
        <w:ind w:left="4320" w:hanging="360"/>
      </w:pPr>
      <w:rPr>
        <w:rFonts w:ascii="Wingdings" w:hAnsi="Wingdings" w:hint="default"/>
      </w:rPr>
    </w:lvl>
    <w:lvl w:ilvl="6" w:tplc="2A324166">
      <w:start w:val="1"/>
      <w:numFmt w:val="bullet"/>
      <w:lvlText w:val=""/>
      <w:lvlJc w:val="left"/>
      <w:pPr>
        <w:ind w:left="5040" w:hanging="360"/>
      </w:pPr>
      <w:rPr>
        <w:rFonts w:ascii="Symbol" w:hAnsi="Symbol" w:hint="default"/>
      </w:rPr>
    </w:lvl>
    <w:lvl w:ilvl="7" w:tplc="3C06FB60">
      <w:start w:val="1"/>
      <w:numFmt w:val="bullet"/>
      <w:lvlText w:val="o"/>
      <w:lvlJc w:val="left"/>
      <w:pPr>
        <w:ind w:left="5760" w:hanging="360"/>
      </w:pPr>
      <w:rPr>
        <w:rFonts w:ascii="Courier New" w:hAnsi="Courier New" w:hint="default"/>
      </w:rPr>
    </w:lvl>
    <w:lvl w:ilvl="8" w:tplc="4C301B06">
      <w:start w:val="1"/>
      <w:numFmt w:val="bullet"/>
      <w:lvlText w:val=""/>
      <w:lvlJc w:val="left"/>
      <w:pPr>
        <w:ind w:left="6480" w:hanging="360"/>
      </w:pPr>
      <w:rPr>
        <w:rFonts w:ascii="Wingdings" w:hAnsi="Wingdings" w:hint="default"/>
      </w:rPr>
    </w:lvl>
  </w:abstractNum>
  <w:abstractNum w:abstractNumId="17" w15:restartNumberingAfterBreak="0">
    <w:nsid w:val="35D30E7F"/>
    <w:multiLevelType w:val="hybridMultilevel"/>
    <w:tmpl w:val="A54AA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FD6ADE"/>
    <w:multiLevelType w:val="multilevel"/>
    <w:tmpl w:val="5EFA1542"/>
    <w:styleLink w:val="Checklist"/>
    <w:lvl w:ilvl="0">
      <w:start w:val="1"/>
      <w:numFmt w:val="bullet"/>
      <w:lvlText w:val=""/>
      <w:lvlJc w:val="left"/>
      <w:pPr>
        <w:ind w:left="284" w:hanging="284"/>
      </w:pPr>
      <w:rPr>
        <w:rFonts w:ascii="Symbol" w:hAnsi="Symbol" w:hint="default"/>
        <w:color w:val="auto"/>
        <w:sz w:val="22"/>
      </w:rPr>
    </w:lvl>
    <w:lvl w:ilvl="1">
      <w:start w:val="1"/>
      <w:numFmt w:val="bullet"/>
      <w:lvlText w:val=""/>
      <w:lvlJc w:val="left"/>
      <w:pPr>
        <w:ind w:left="851" w:hanging="284"/>
      </w:pPr>
      <w:rPr>
        <w:rFonts w:ascii="Symbol" w:hAnsi="Symbol" w:hint="default"/>
        <w:color w:val="auto"/>
      </w:rPr>
    </w:lvl>
    <w:lvl w:ilvl="2">
      <w:start w:val="1"/>
      <w:numFmt w:val="bullet"/>
      <w:lvlText w:val=""/>
      <w:lvlJc w:val="left"/>
      <w:pPr>
        <w:ind w:left="1418" w:hanging="284"/>
      </w:pPr>
      <w:rPr>
        <w:rFonts w:ascii="Symbol" w:hAnsi="Symbol" w:hint="default"/>
        <w:color w:val="auto"/>
      </w:rPr>
    </w:lvl>
    <w:lvl w:ilvl="3">
      <w:start w:val="1"/>
      <w:numFmt w:val="bullet"/>
      <w:lvlText w:val=""/>
      <w:lvlJc w:val="left"/>
      <w:pPr>
        <w:ind w:left="1985" w:hanging="284"/>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4A5EDF"/>
    <w:multiLevelType w:val="hybridMultilevel"/>
    <w:tmpl w:val="D1AEBF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D1425B"/>
    <w:multiLevelType w:val="hybridMultilevel"/>
    <w:tmpl w:val="60BC8114"/>
    <w:lvl w:ilvl="0" w:tplc="84AA0DD2">
      <w:start w:val="1"/>
      <w:numFmt w:val="bullet"/>
      <w:lvlText w:val=""/>
      <w:lvlJc w:val="left"/>
      <w:pPr>
        <w:ind w:left="720" w:hanging="360"/>
      </w:pPr>
      <w:rPr>
        <w:rFonts w:ascii="Symbol" w:hAnsi="Symbol" w:hint="default"/>
      </w:rPr>
    </w:lvl>
    <w:lvl w:ilvl="1" w:tplc="910602F4">
      <w:start w:val="1"/>
      <w:numFmt w:val="bullet"/>
      <w:lvlText w:val="o"/>
      <w:lvlJc w:val="left"/>
      <w:pPr>
        <w:ind w:left="1440" w:hanging="360"/>
      </w:pPr>
      <w:rPr>
        <w:rFonts w:ascii="Courier New" w:hAnsi="Courier New" w:hint="default"/>
      </w:rPr>
    </w:lvl>
    <w:lvl w:ilvl="2" w:tplc="C2D28E56">
      <w:start w:val="1"/>
      <w:numFmt w:val="bullet"/>
      <w:lvlText w:val=""/>
      <w:lvlJc w:val="left"/>
      <w:pPr>
        <w:ind w:left="2160" w:hanging="360"/>
      </w:pPr>
      <w:rPr>
        <w:rFonts w:ascii="Wingdings" w:hAnsi="Wingdings" w:hint="default"/>
      </w:rPr>
    </w:lvl>
    <w:lvl w:ilvl="3" w:tplc="FA38EFA6">
      <w:start w:val="1"/>
      <w:numFmt w:val="bullet"/>
      <w:lvlText w:val=""/>
      <w:lvlJc w:val="left"/>
      <w:pPr>
        <w:ind w:left="2880" w:hanging="360"/>
      </w:pPr>
      <w:rPr>
        <w:rFonts w:ascii="Symbol" w:hAnsi="Symbol" w:hint="default"/>
      </w:rPr>
    </w:lvl>
    <w:lvl w:ilvl="4" w:tplc="5A586B10">
      <w:start w:val="1"/>
      <w:numFmt w:val="bullet"/>
      <w:lvlText w:val="o"/>
      <w:lvlJc w:val="left"/>
      <w:pPr>
        <w:ind w:left="3600" w:hanging="360"/>
      </w:pPr>
      <w:rPr>
        <w:rFonts w:ascii="Courier New" w:hAnsi="Courier New" w:hint="default"/>
      </w:rPr>
    </w:lvl>
    <w:lvl w:ilvl="5" w:tplc="DB68B678">
      <w:start w:val="1"/>
      <w:numFmt w:val="bullet"/>
      <w:lvlText w:val=""/>
      <w:lvlJc w:val="left"/>
      <w:pPr>
        <w:ind w:left="4320" w:hanging="360"/>
      </w:pPr>
      <w:rPr>
        <w:rFonts w:ascii="Wingdings" w:hAnsi="Wingdings" w:hint="default"/>
      </w:rPr>
    </w:lvl>
    <w:lvl w:ilvl="6" w:tplc="BBD0A41E">
      <w:start w:val="1"/>
      <w:numFmt w:val="bullet"/>
      <w:lvlText w:val=""/>
      <w:lvlJc w:val="left"/>
      <w:pPr>
        <w:ind w:left="5040" w:hanging="360"/>
      </w:pPr>
      <w:rPr>
        <w:rFonts w:ascii="Symbol" w:hAnsi="Symbol" w:hint="default"/>
      </w:rPr>
    </w:lvl>
    <w:lvl w:ilvl="7" w:tplc="90D487B8">
      <w:start w:val="1"/>
      <w:numFmt w:val="bullet"/>
      <w:lvlText w:val="o"/>
      <w:lvlJc w:val="left"/>
      <w:pPr>
        <w:ind w:left="5760" w:hanging="360"/>
      </w:pPr>
      <w:rPr>
        <w:rFonts w:ascii="Courier New" w:hAnsi="Courier New" w:hint="default"/>
      </w:rPr>
    </w:lvl>
    <w:lvl w:ilvl="8" w:tplc="43129B1C">
      <w:start w:val="1"/>
      <w:numFmt w:val="bullet"/>
      <w:lvlText w:val=""/>
      <w:lvlJc w:val="left"/>
      <w:pPr>
        <w:ind w:left="6480" w:hanging="360"/>
      </w:pPr>
      <w:rPr>
        <w:rFonts w:ascii="Wingdings" w:hAnsi="Wingdings" w:hint="default"/>
      </w:rPr>
    </w:lvl>
  </w:abstractNum>
  <w:abstractNum w:abstractNumId="21" w15:restartNumberingAfterBreak="0">
    <w:nsid w:val="42ADB8F2"/>
    <w:multiLevelType w:val="hybridMultilevel"/>
    <w:tmpl w:val="FFFFFFFF"/>
    <w:lvl w:ilvl="0" w:tplc="ED94E37E">
      <w:start w:val="1"/>
      <w:numFmt w:val="bullet"/>
      <w:lvlText w:val=""/>
      <w:lvlJc w:val="left"/>
      <w:pPr>
        <w:ind w:left="720" w:hanging="360"/>
      </w:pPr>
      <w:rPr>
        <w:rFonts w:ascii="Symbol" w:hAnsi="Symbol" w:hint="default"/>
      </w:rPr>
    </w:lvl>
    <w:lvl w:ilvl="1" w:tplc="F6A6E5DA">
      <w:start w:val="1"/>
      <w:numFmt w:val="bullet"/>
      <w:lvlText w:val="o"/>
      <w:lvlJc w:val="left"/>
      <w:pPr>
        <w:ind w:left="1440" w:hanging="360"/>
      </w:pPr>
      <w:rPr>
        <w:rFonts w:ascii="Courier New" w:hAnsi="Courier New" w:hint="default"/>
      </w:rPr>
    </w:lvl>
    <w:lvl w:ilvl="2" w:tplc="920C5DE0">
      <w:start w:val="1"/>
      <w:numFmt w:val="bullet"/>
      <w:lvlText w:val=""/>
      <w:lvlJc w:val="left"/>
      <w:pPr>
        <w:ind w:left="2160" w:hanging="360"/>
      </w:pPr>
      <w:rPr>
        <w:rFonts w:ascii="Wingdings" w:hAnsi="Wingdings" w:hint="default"/>
      </w:rPr>
    </w:lvl>
    <w:lvl w:ilvl="3" w:tplc="F4AE4E16">
      <w:start w:val="1"/>
      <w:numFmt w:val="bullet"/>
      <w:lvlText w:val=""/>
      <w:lvlJc w:val="left"/>
      <w:pPr>
        <w:ind w:left="2880" w:hanging="360"/>
      </w:pPr>
      <w:rPr>
        <w:rFonts w:ascii="Symbol" w:hAnsi="Symbol" w:hint="default"/>
      </w:rPr>
    </w:lvl>
    <w:lvl w:ilvl="4" w:tplc="209669C8">
      <w:start w:val="1"/>
      <w:numFmt w:val="bullet"/>
      <w:lvlText w:val="o"/>
      <w:lvlJc w:val="left"/>
      <w:pPr>
        <w:ind w:left="3600" w:hanging="360"/>
      </w:pPr>
      <w:rPr>
        <w:rFonts w:ascii="Courier New" w:hAnsi="Courier New" w:hint="default"/>
      </w:rPr>
    </w:lvl>
    <w:lvl w:ilvl="5" w:tplc="B6625CB6">
      <w:start w:val="1"/>
      <w:numFmt w:val="bullet"/>
      <w:lvlText w:val=""/>
      <w:lvlJc w:val="left"/>
      <w:pPr>
        <w:ind w:left="4320" w:hanging="360"/>
      </w:pPr>
      <w:rPr>
        <w:rFonts w:ascii="Wingdings" w:hAnsi="Wingdings" w:hint="default"/>
      </w:rPr>
    </w:lvl>
    <w:lvl w:ilvl="6" w:tplc="401CCE52">
      <w:start w:val="1"/>
      <w:numFmt w:val="bullet"/>
      <w:lvlText w:val=""/>
      <w:lvlJc w:val="left"/>
      <w:pPr>
        <w:ind w:left="5040" w:hanging="360"/>
      </w:pPr>
      <w:rPr>
        <w:rFonts w:ascii="Symbol" w:hAnsi="Symbol" w:hint="default"/>
      </w:rPr>
    </w:lvl>
    <w:lvl w:ilvl="7" w:tplc="CD886C82">
      <w:start w:val="1"/>
      <w:numFmt w:val="bullet"/>
      <w:lvlText w:val="o"/>
      <w:lvlJc w:val="left"/>
      <w:pPr>
        <w:ind w:left="5760" w:hanging="360"/>
      </w:pPr>
      <w:rPr>
        <w:rFonts w:ascii="Courier New" w:hAnsi="Courier New" w:hint="default"/>
      </w:rPr>
    </w:lvl>
    <w:lvl w:ilvl="8" w:tplc="1F44E6AE">
      <w:start w:val="1"/>
      <w:numFmt w:val="bullet"/>
      <w:lvlText w:val=""/>
      <w:lvlJc w:val="left"/>
      <w:pPr>
        <w:ind w:left="6480" w:hanging="360"/>
      </w:pPr>
      <w:rPr>
        <w:rFonts w:ascii="Wingdings" w:hAnsi="Wingdings" w:hint="default"/>
      </w:rPr>
    </w:lvl>
  </w:abstractNum>
  <w:abstractNum w:abstractNumId="22" w15:restartNumberingAfterBreak="0">
    <w:nsid w:val="460A42E9"/>
    <w:multiLevelType w:val="hybridMultilevel"/>
    <w:tmpl w:val="651C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F57F6F"/>
    <w:multiLevelType w:val="hybridMultilevel"/>
    <w:tmpl w:val="FFFFFFFF"/>
    <w:lvl w:ilvl="0" w:tplc="00EA50B2">
      <w:start w:val="1"/>
      <w:numFmt w:val="bullet"/>
      <w:lvlText w:val=""/>
      <w:lvlJc w:val="left"/>
      <w:pPr>
        <w:ind w:left="720" w:hanging="360"/>
      </w:pPr>
      <w:rPr>
        <w:rFonts w:ascii="Symbol" w:hAnsi="Symbol" w:hint="default"/>
      </w:rPr>
    </w:lvl>
    <w:lvl w:ilvl="1" w:tplc="23A03172">
      <w:start w:val="1"/>
      <w:numFmt w:val="bullet"/>
      <w:lvlText w:val="o"/>
      <w:lvlJc w:val="left"/>
      <w:pPr>
        <w:ind w:left="1440" w:hanging="360"/>
      </w:pPr>
      <w:rPr>
        <w:rFonts w:ascii="Courier New" w:hAnsi="Courier New" w:hint="default"/>
      </w:rPr>
    </w:lvl>
    <w:lvl w:ilvl="2" w:tplc="3DFC791A">
      <w:start w:val="1"/>
      <w:numFmt w:val="bullet"/>
      <w:lvlText w:val=""/>
      <w:lvlJc w:val="left"/>
      <w:pPr>
        <w:ind w:left="2160" w:hanging="360"/>
      </w:pPr>
      <w:rPr>
        <w:rFonts w:ascii="Wingdings" w:hAnsi="Wingdings" w:hint="default"/>
      </w:rPr>
    </w:lvl>
    <w:lvl w:ilvl="3" w:tplc="3586B08C">
      <w:start w:val="1"/>
      <w:numFmt w:val="bullet"/>
      <w:lvlText w:val=""/>
      <w:lvlJc w:val="left"/>
      <w:pPr>
        <w:ind w:left="2880" w:hanging="360"/>
      </w:pPr>
      <w:rPr>
        <w:rFonts w:ascii="Symbol" w:hAnsi="Symbol" w:hint="default"/>
      </w:rPr>
    </w:lvl>
    <w:lvl w:ilvl="4" w:tplc="9ABA3E80">
      <w:start w:val="1"/>
      <w:numFmt w:val="bullet"/>
      <w:lvlText w:val="o"/>
      <w:lvlJc w:val="left"/>
      <w:pPr>
        <w:ind w:left="3600" w:hanging="360"/>
      </w:pPr>
      <w:rPr>
        <w:rFonts w:ascii="Courier New" w:hAnsi="Courier New" w:hint="default"/>
      </w:rPr>
    </w:lvl>
    <w:lvl w:ilvl="5" w:tplc="123862B2">
      <w:start w:val="1"/>
      <w:numFmt w:val="bullet"/>
      <w:lvlText w:val=""/>
      <w:lvlJc w:val="left"/>
      <w:pPr>
        <w:ind w:left="4320" w:hanging="360"/>
      </w:pPr>
      <w:rPr>
        <w:rFonts w:ascii="Wingdings" w:hAnsi="Wingdings" w:hint="default"/>
      </w:rPr>
    </w:lvl>
    <w:lvl w:ilvl="6" w:tplc="C4E4EBF8">
      <w:start w:val="1"/>
      <w:numFmt w:val="bullet"/>
      <w:lvlText w:val=""/>
      <w:lvlJc w:val="left"/>
      <w:pPr>
        <w:ind w:left="5040" w:hanging="360"/>
      </w:pPr>
      <w:rPr>
        <w:rFonts w:ascii="Symbol" w:hAnsi="Symbol" w:hint="default"/>
      </w:rPr>
    </w:lvl>
    <w:lvl w:ilvl="7" w:tplc="20525898">
      <w:start w:val="1"/>
      <w:numFmt w:val="bullet"/>
      <w:lvlText w:val="o"/>
      <w:lvlJc w:val="left"/>
      <w:pPr>
        <w:ind w:left="5760" w:hanging="360"/>
      </w:pPr>
      <w:rPr>
        <w:rFonts w:ascii="Courier New" w:hAnsi="Courier New" w:hint="default"/>
      </w:rPr>
    </w:lvl>
    <w:lvl w:ilvl="8" w:tplc="1CBCC442">
      <w:start w:val="1"/>
      <w:numFmt w:val="bullet"/>
      <w:lvlText w:val=""/>
      <w:lvlJc w:val="left"/>
      <w:pPr>
        <w:ind w:left="6480" w:hanging="360"/>
      </w:pPr>
      <w:rPr>
        <w:rFonts w:ascii="Wingdings" w:hAnsi="Wingdings" w:hint="default"/>
      </w:rPr>
    </w:lvl>
  </w:abstractNum>
  <w:abstractNum w:abstractNumId="24" w15:restartNumberingAfterBreak="0">
    <w:nsid w:val="51C37B9E"/>
    <w:multiLevelType w:val="hybridMultilevel"/>
    <w:tmpl w:val="DD28FBF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9E25F3"/>
    <w:multiLevelType w:val="multilevel"/>
    <w:tmpl w:val="3B162660"/>
    <w:styleLink w:val="SOLTHISliste"/>
    <w:lvl w:ilvl="0">
      <w:start w:val="1"/>
      <w:numFmt w:val="bullet"/>
      <w:lvlText w:val=""/>
      <w:lvlJc w:val="left"/>
      <w:pPr>
        <w:ind w:left="284" w:hanging="284"/>
      </w:pPr>
      <w:rPr>
        <w:rFonts w:asciiTheme="minorHAnsi" w:hAnsiTheme="minorHAnsi" w:hint="default"/>
        <w:color w:val="auto"/>
        <w:sz w:val="22"/>
      </w:rPr>
    </w:lvl>
    <w:lvl w:ilvl="1">
      <w:start w:val="1"/>
      <w:numFmt w:val="bullet"/>
      <w:lvlText w:val=""/>
      <w:lvlJc w:val="left"/>
      <w:pPr>
        <w:ind w:left="851" w:hanging="284"/>
      </w:pPr>
      <w:rPr>
        <w:rFonts w:ascii="Symbol" w:hAnsi="Symbol" w:hint="default"/>
        <w:color w:val="auto"/>
      </w:rPr>
    </w:lvl>
    <w:lvl w:ilvl="2">
      <w:start w:val="1"/>
      <w:numFmt w:val="bullet"/>
      <w:lvlText w:val=""/>
      <w:lvlJc w:val="left"/>
      <w:pPr>
        <w:ind w:left="1418" w:hanging="284"/>
      </w:pPr>
      <w:rPr>
        <w:rFonts w:ascii="Symbol" w:hAnsi="Symbol" w:hint="default"/>
        <w:color w:val="auto"/>
      </w:rPr>
    </w:lvl>
    <w:lvl w:ilvl="3">
      <w:start w:val="1"/>
      <w:numFmt w:val="bullet"/>
      <w:lvlText w:val=""/>
      <w:lvlJc w:val="left"/>
      <w:pPr>
        <w:ind w:left="1985" w:hanging="284"/>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B5268E"/>
    <w:multiLevelType w:val="hybridMultilevel"/>
    <w:tmpl w:val="8FF08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F5D03F"/>
    <w:multiLevelType w:val="hybridMultilevel"/>
    <w:tmpl w:val="FFFFFFFF"/>
    <w:lvl w:ilvl="0" w:tplc="10A84246">
      <w:start w:val="1"/>
      <w:numFmt w:val="bullet"/>
      <w:lvlText w:val=""/>
      <w:lvlJc w:val="left"/>
      <w:pPr>
        <w:ind w:left="720" w:hanging="360"/>
      </w:pPr>
      <w:rPr>
        <w:rFonts w:ascii="Symbol" w:hAnsi="Symbol" w:hint="default"/>
      </w:rPr>
    </w:lvl>
    <w:lvl w:ilvl="1" w:tplc="F97E208E">
      <w:start w:val="1"/>
      <w:numFmt w:val="bullet"/>
      <w:lvlText w:val="o"/>
      <w:lvlJc w:val="left"/>
      <w:pPr>
        <w:ind w:left="1440" w:hanging="360"/>
      </w:pPr>
      <w:rPr>
        <w:rFonts w:ascii="Courier New" w:hAnsi="Courier New" w:hint="default"/>
      </w:rPr>
    </w:lvl>
    <w:lvl w:ilvl="2" w:tplc="6F40700C">
      <w:start w:val="1"/>
      <w:numFmt w:val="bullet"/>
      <w:lvlText w:val=""/>
      <w:lvlJc w:val="left"/>
      <w:pPr>
        <w:ind w:left="2160" w:hanging="360"/>
      </w:pPr>
      <w:rPr>
        <w:rFonts w:ascii="Wingdings" w:hAnsi="Wingdings" w:hint="default"/>
      </w:rPr>
    </w:lvl>
    <w:lvl w:ilvl="3" w:tplc="E68AE08C">
      <w:start w:val="1"/>
      <w:numFmt w:val="bullet"/>
      <w:lvlText w:val=""/>
      <w:lvlJc w:val="left"/>
      <w:pPr>
        <w:ind w:left="2880" w:hanging="360"/>
      </w:pPr>
      <w:rPr>
        <w:rFonts w:ascii="Symbol" w:hAnsi="Symbol" w:hint="default"/>
      </w:rPr>
    </w:lvl>
    <w:lvl w:ilvl="4" w:tplc="0F4640DA">
      <w:start w:val="1"/>
      <w:numFmt w:val="bullet"/>
      <w:lvlText w:val="o"/>
      <w:lvlJc w:val="left"/>
      <w:pPr>
        <w:ind w:left="3600" w:hanging="360"/>
      </w:pPr>
      <w:rPr>
        <w:rFonts w:ascii="Courier New" w:hAnsi="Courier New" w:hint="default"/>
      </w:rPr>
    </w:lvl>
    <w:lvl w:ilvl="5" w:tplc="51883656">
      <w:start w:val="1"/>
      <w:numFmt w:val="bullet"/>
      <w:lvlText w:val=""/>
      <w:lvlJc w:val="left"/>
      <w:pPr>
        <w:ind w:left="4320" w:hanging="360"/>
      </w:pPr>
      <w:rPr>
        <w:rFonts w:ascii="Wingdings" w:hAnsi="Wingdings" w:hint="default"/>
      </w:rPr>
    </w:lvl>
    <w:lvl w:ilvl="6" w:tplc="F662BA58">
      <w:start w:val="1"/>
      <w:numFmt w:val="bullet"/>
      <w:lvlText w:val=""/>
      <w:lvlJc w:val="left"/>
      <w:pPr>
        <w:ind w:left="5040" w:hanging="360"/>
      </w:pPr>
      <w:rPr>
        <w:rFonts w:ascii="Symbol" w:hAnsi="Symbol" w:hint="default"/>
      </w:rPr>
    </w:lvl>
    <w:lvl w:ilvl="7" w:tplc="58F06FA2">
      <w:start w:val="1"/>
      <w:numFmt w:val="bullet"/>
      <w:lvlText w:val="o"/>
      <w:lvlJc w:val="left"/>
      <w:pPr>
        <w:ind w:left="5760" w:hanging="360"/>
      </w:pPr>
      <w:rPr>
        <w:rFonts w:ascii="Courier New" w:hAnsi="Courier New" w:hint="default"/>
      </w:rPr>
    </w:lvl>
    <w:lvl w:ilvl="8" w:tplc="3590289E">
      <w:start w:val="1"/>
      <w:numFmt w:val="bullet"/>
      <w:lvlText w:val=""/>
      <w:lvlJc w:val="left"/>
      <w:pPr>
        <w:ind w:left="6480" w:hanging="360"/>
      </w:pPr>
      <w:rPr>
        <w:rFonts w:ascii="Wingdings" w:hAnsi="Wingdings" w:hint="default"/>
      </w:rPr>
    </w:lvl>
  </w:abstractNum>
  <w:abstractNum w:abstractNumId="28" w15:restartNumberingAfterBreak="0">
    <w:nsid w:val="64A6E870"/>
    <w:multiLevelType w:val="hybridMultilevel"/>
    <w:tmpl w:val="FFFFFFFF"/>
    <w:lvl w:ilvl="0" w:tplc="E91EBF00">
      <w:start w:val="1"/>
      <w:numFmt w:val="bullet"/>
      <w:lvlText w:val=""/>
      <w:lvlJc w:val="left"/>
      <w:pPr>
        <w:ind w:left="720" w:hanging="360"/>
      </w:pPr>
      <w:rPr>
        <w:rFonts w:ascii="Symbol" w:hAnsi="Symbol" w:hint="default"/>
      </w:rPr>
    </w:lvl>
    <w:lvl w:ilvl="1" w:tplc="116E0E22">
      <w:start w:val="1"/>
      <w:numFmt w:val="bullet"/>
      <w:lvlText w:val="o"/>
      <w:lvlJc w:val="left"/>
      <w:pPr>
        <w:ind w:left="1440" w:hanging="360"/>
      </w:pPr>
      <w:rPr>
        <w:rFonts w:ascii="Courier New" w:hAnsi="Courier New" w:hint="default"/>
      </w:rPr>
    </w:lvl>
    <w:lvl w:ilvl="2" w:tplc="797ACB1C">
      <w:start w:val="1"/>
      <w:numFmt w:val="bullet"/>
      <w:lvlText w:val=""/>
      <w:lvlJc w:val="left"/>
      <w:pPr>
        <w:ind w:left="2160" w:hanging="360"/>
      </w:pPr>
      <w:rPr>
        <w:rFonts w:ascii="Wingdings" w:hAnsi="Wingdings" w:hint="default"/>
      </w:rPr>
    </w:lvl>
    <w:lvl w:ilvl="3" w:tplc="86281E9E">
      <w:start w:val="1"/>
      <w:numFmt w:val="bullet"/>
      <w:lvlText w:val=""/>
      <w:lvlJc w:val="left"/>
      <w:pPr>
        <w:ind w:left="2880" w:hanging="360"/>
      </w:pPr>
      <w:rPr>
        <w:rFonts w:ascii="Symbol" w:hAnsi="Symbol" w:hint="default"/>
      </w:rPr>
    </w:lvl>
    <w:lvl w:ilvl="4" w:tplc="1A14B940">
      <w:start w:val="1"/>
      <w:numFmt w:val="bullet"/>
      <w:lvlText w:val="o"/>
      <w:lvlJc w:val="left"/>
      <w:pPr>
        <w:ind w:left="3600" w:hanging="360"/>
      </w:pPr>
      <w:rPr>
        <w:rFonts w:ascii="Courier New" w:hAnsi="Courier New" w:hint="default"/>
      </w:rPr>
    </w:lvl>
    <w:lvl w:ilvl="5" w:tplc="52829896">
      <w:start w:val="1"/>
      <w:numFmt w:val="bullet"/>
      <w:lvlText w:val=""/>
      <w:lvlJc w:val="left"/>
      <w:pPr>
        <w:ind w:left="4320" w:hanging="360"/>
      </w:pPr>
      <w:rPr>
        <w:rFonts w:ascii="Wingdings" w:hAnsi="Wingdings" w:hint="default"/>
      </w:rPr>
    </w:lvl>
    <w:lvl w:ilvl="6" w:tplc="21924272">
      <w:start w:val="1"/>
      <w:numFmt w:val="bullet"/>
      <w:lvlText w:val=""/>
      <w:lvlJc w:val="left"/>
      <w:pPr>
        <w:ind w:left="5040" w:hanging="360"/>
      </w:pPr>
      <w:rPr>
        <w:rFonts w:ascii="Symbol" w:hAnsi="Symbol" w:hint="default"/>
      </w:rPr>
    </w:lvl>
    <w:lvl w:ilvl="7" w:tplc="9CC26B90">
      <w:start w:val="1"/>
      <w:numFmt w:val="bullet"/>
      <w:lvlText w:val="o"/>
      <w:lvlJc w:val="left"/>
      <w:pPr>
        <w:ind w:left="5760" w:hanging="360"/>
      </w:pPr>
      <w:rPr>
        <w:rFonts w:ascii="Courier New" w:hAnsi="Courier New" w:hint="default"/>
      </w:rPr>
    </w:lvl>
    <w:lvl w:ilvl="8" w:tplc="E2AEB32A">
      <w:start w:val="1"/>
      <w:numFmt w:val="bullet"/>
      <w:lvlText w:val=""/>
      <w:lvlJc w:val="left"/>
      <w:pPr>
        <w:ind w:left="6480" w:hanging="360"/>
      </w:pPr>
      <w:rPr>
        <w:rFonts w:ascii="Wingdings" w:hAnsi="Wingdings" w:hint="default"/>
      </w:rPr>
    </w:lvl>
  </w:abstractNum>
  <w:abstractNum w:abstractNumId="29" w15:restartNumberingAfterBreak="0">
    <w:nsid w:val="64BD736B"/>
    <w:multiLevelType w:val="hybridMultilevel"/>
    <w:tmpl w:val="2E3C2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674BF5"/>
    <w:multiLevelType w:val="hybridMultilevel"/>
    <w:tmpl w:val="84726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7F610D"/>
    <w:multiLevelType w:val="hybridMultilevel"/>
    <w:tmpl w:val="F83CD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BC6849"/>
    <w:multiLevelType w:val="hybridMultilevel"/>
    <w:tmpl w:val="00226F9E"/>
    <w:lvl w:ilvl="0" w:tplc="61485DE2">
      <w:start w:val="1"/>
      <w:numFmt w:val="bullet"/>
      <w:lvlText w:val=""/>
      <w:lvlJc w:val="left"/>
      <w:pPr>
        <w:ind w:left="720" w:hanging="360"/>
      </w:pPr>
      <w:rPr>
        <w:rFonts w:ascii="Symbol" w:hAnsi="Symbol" w:hint="default"/>
      </w:rPr>
    </w:lvl>
    <w:lvl w:ilvl="1" w:tplc="34087586">
      <w:start w:val="1"/>
      <w:numFmt w:val="bullet"/>
      <w:lvlText w:val="o"/>
      <w:lvlJc w:val="left"/>
      <w:pPr>
        <w:ind w:left="1440" w:hanging="360"/>
      </w:pPr>
      <w:rPr>
        <w:rFonts w:ascii="Courier New" w:hAnsi="Courier New" w:hint="default"/>
      </w:rPr>
    </w:lvl>
    <w:lvl w:ilvl="2" w:tplc="04825B08">
      <w:start w:val="1"/>
      <w:numFmt w:val="bullet"/>
      <w:lvlText w:val=""/>
      <w:lvlJc w:val="left"/>
      <w:pPr>
        <w:ind w:left="2160" w:hanging="360"/>
      </w:pPr>
      <w:rPr>
        <w:rFonts w:ascii="Wingdings" w:hAnsi="Wingdings" w:hint="default"/>
      </w:rPr>
    </w:lvl>
    <w:lvl w:ilvl="3" w:tplc="9ABCC4C4">
      <w:start w:val="1"/>
      <w:numFmt w:val="bullet"/>
      <w:lvlText w:val=""/>
      <w:lvlJc w:val="left"/>
      <w:pPr>
        <w:ind w:left="2880" w:hanging="360"/>
      </w:pPr>
      <w:rPr>
        <w:rFonts w:ascii="Symbol" w:hAnsi="Symbol" w:hint="default"/>
      </w:rPr>
    </w:lvl>
    <w:lvl w:ilvl="4" w:tplc="32D8F7F4">
      <w:start w:val="1"/>
      <w:numFmt w:val="bullet"/>
      <w:lvlText w:val="o"/>
      <w:lvlJc w:val="left"/>
      <w:pPr>
        <w:ind w:left="3600" w:hanging="360"/>
      </w:pPr>
      <w:rPr>
        <w:rFonts w:ascii="Courier New" w:hAnsi="Courier New" w:hint="default"/>
      </w:rPr>
    </w:lvl>
    <w:lvl w:ilvl="5" w:tplc="CCA0D1E8">
      <w:start w:val="1"/>
      <w:numFmt w:val="bullet"/>
      <w:lvlText w:val=""/>
      <w:lvlJc w:val="left"/>
      <w:pPr>
        <w:ind w:left="4320" w:hanging="360"/>
      </w:pPr>
      <w:rPr>
        <w:rFonts w:ascii="Wingdings" w:hAnsi="Wingdings" w:hint="default"/>
      </w:rPr>
    </w:lvl>
    <w:lvl w:ilvl="6" w:tplc="72A817DA">
      <w:start w:val="1"/>
      <w:numFmt w:val="bullet"/>
      <w:lvlText w:val=""/>
      <w:lvlJc w:val="left"/>
      <w:pPr>
        <w:ind w:left="5040" w:hanging="360"/>
      </w:pPr>
      <w:rPr>
        <w:rFonts w:ascii="Symbol" w:hAnsi="Symbol" w:hint="default"/>
      </w:rPr>
    </w:lvl>
    <w:lvl w:ilvl="7" w:tplc="4E987C22">
      <w:start w:val="1"/>
      <w:numFmt w:val="bullet"/>
      <w:lvlText w:val="o"/>
      <w:lvlJc w:val="left"/>
      <w:pPr>
        <w:ind w:left="5760" w:hanging="360"/>
      </w:pPr>
      <w:rPr>
        <w:rFonts w:ascii="Courier New" w:hAnsi="Courier New" w:hint="default"/>
      </w:rPr>
    </w:lvl>
    <w:lvl w:ilvl="8" w:tplc="96F49D24">
      <w:start w:val="1"/>
      <w:numFmt w:val="bullet"/>
      <w:lvlText w:val=""/>
      <w:lvlJc w:val="left"/>
      <w:pPr>
        <w:ind w:left="6480" w:hanging="360"/>
      </w:pPr>
      <w:rPr>
        <w:rFonts w:ascii="Wingdings" w:hAnsi="Wingdings" w:hint="default"/>
      </w:rPr>
    </w:lvl>
  </w:abstractNum>
  <w:abstractNum w:abstractNumId="33" w15:restartNumberingAfterBreak="0">
    <w:nsid w:val="6EFB205C"/>
    <w:multiLevelType w:val="hybridMultilevel"/>
    <w:tmpl w:val="FFFFFFFF"/>
    <w:lvl w:ilvl="0" w:tplc="BB6EF968">
      <w:start w:val="1"/>
      <w:numFmt w:val="bullet"/>
      <w:lvlText w:val=""/>
      <w:lvlJc w:val="left"/>
      <w:pPr>
        <w:ind w:left="720" w:hanging="360"/>
      </w:pPr>
      <w:rPr>
        <w:rFonts w:ascii="Symbol" w:hAnsi="Symbol" w:hint="default"/>
      </w:rPr>
    </w:lvl>
    <w:lvl w:ilvl="1" w:tplc="A0569BF6">
      <w:start w:val="1"/>
      <w:numFmt w:val="bullet"/>
      <w:lvlText w:val="o"/>
      <w:lvlJc w:val="left"/>
      <w:pPr>
        <w:ind w:left="1440" w:hanging="360"/>
      </w:pPr>
      <w:rPr>
        <w:rFonts w:ascii="Courier New" w:hAnsi="Courier New" w:hint="default"/>
      </w:rPr>
    </w:lvl>
    <w:lvl w:ilvl="2" w:tplc="96EEBA24">
      <w:start w:val="1"/>
      <w:numFmt w:val="bullet"/>
      <w:lvlText w:val=""/>
      <w:lvlJc w:val="left"/>
      <w:pPr>
        <w:ind w:left="2160" w:hanging="360"/>
      </w:pPr>
      <w:rPr>
        <w:rFonts w:ascii="Wingdings" w:hAnsi="Wingdings" w:hint="default"/>
      </w:rPr>
    </w:lvl>
    <w:lvl w:ilvl="3" w:tplc="830864D8">
      <w:start w:val="1"/>
      <w:numFmt w:val="bullet"/>
      <w:lvlText w:val=""/>
      <w:lvlJc w:val="left"/>
      <w:pPr>
        <w:ind w:left="2880" w:hanging="360"/>
      </w:pPr>
      <w:rPr>
        <w:rFonts w:ascii="Symbol" w:hAnsi="Symbol" w:hint="default"/>
      </w:rPr>
    </w:lvl>
    <w:lvl w:ilvl="4" w:tplc="22A44136">
      <w:start w:val="1"/>
      <w:numFmt w:val="bullet"/>
      <w:lvlText w:val="o"/>
      <w:lvlJc w:val="left"/>
      <w:pPr>
        <w:ind w:left="3600" w:hanging="360"/>
      </w:pPr>
      <w:rPr>
        <w:rFonts w:ascii="Courier New" w:hAnsi="Courier New" w:hint="default"/>
      </w:rPr>
    </w:lvl>
    <w:lvl w:ilvl="5" w:tplc="24482BB4">
      <w:start w:val="1"/>
      <w:numFmt w:val="bullet"/>
      <w:lvlText w:val=""/>
      <w:lvlJc w:val="left"/>
      <w:pPr>
        <w:ind w:left="4320" w:hanging="360"/>
      </w:pPr>
      <w:rPr>
        <w:rFonts w:ascii="Wingdings" w:hAnsi="Wingdings" w:hint="default"/>
      </w:rPr>
    </w:lvl>
    <w:lvl w:ilvl="6" w:tplc="0DEEBDE8">
      <w:start w:val="1"/>
      <w:numFmt w:val="bullet"/>
      <w:lvlText w:val=""/>
      <w:lvlJc w:val="left"/>
      <w:pPr>
        <w:ind w:left="5040" w:hanging="360"/>
      </w:pPr>
      <w:rPr>
        <w:rFonts w:ascii="Symbol" w:hAnsi="Symbol" w:hint="default"/>
      </w:rPr>
    </w:lvl>
    <w:lvl w:ilvl="7" w:tplc="0A0CDBEE">
      <w:start w:val="1"/>
      <w:numFmt w:val="bullet"/>
      <w:lvlText w:val="o"/>
      <w:lvlJc w:val="left"/>
      <w:pPr>
        <w:ind w:left="5760" w:hanging="360"/>
      </w:pPr>
      <w:rPr>
        <w:rFonts w:ascii="Courier New" w:hAnsi="Courier New" w:hint="default"/>
      </w:rPr>
    </w:lvl>
    <w:lvl w:ilvl="8" w:tplc="DDB03108">
      <w:start w:val="1"/>
      <w:numFmt w:val="bullet"/>
      <w:lvlText w:val=""/>
      <w:lvlJc w:val="left"/>
      <w:pPr>
        <w:ind w:left="6480" w:hanging="360"/>
      </w:pPr>
      <w:rPr>
        <w:rFonts w:ascii="Wingdings" w:hAnsi="Wingdings" w:hint="default"/>
      </w:rPr>
    </w:lvl>
  </w:abstractNum>
  <w:abstractNum w:abstractNumId="34" w15:restartNumberingAfterBreak="0">
    <w:nsid w:val="70D56D8B"/>
    <w:multiLevelType w:val="hybridMultilevel"/>
    <w:tmpl w:val="807C7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2A276F"/>
    <w:multiLevelType w:val="hybridMultilevel"/>
    <w:tmpl w:val="0776885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6" w15:restartNumberingAfterBreak="0">
    <w:nsid w:val="78CF7048"/>
    <w:multiLevelType w:val="hybridMultilevel"/>
    <w:tmpl w:val="79EE4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FC5A5F"/>
    <w:multiLevelType w:val="hybridMultilevel"/>
    <w:tmpl w:val="B30A3286"/>
    <w:lvl w:ilvl="0" w:tplc="5B8CA250">
      <w:start w:val="1"/>
      <w:numFmt w:val="bullet"/>
      <w:pStyle w:val="Listestandard"/>
      <w:lvlText w:val="-"/>
      <w:lvlJc w:val="left"/>
      <w:pPr>
        <w:ind w:left="720" w:hanging="360"/>
      </w:pPr>
      <w:rPr>
        <w:rFonts w:ascii="Source Sans Pro Light" w:eastAsiaTheme="minorHAnsi" w:hAnsi="Source Sans Pro Light"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C51FF"/>
    <w:multiLevelType w:val="hybridMultilevel"/>
    <w:tmpl w:val="8B965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0A6C46"/>
    <w:multiLevelType w:val="hybridMultilevel"/>
    <w:tmpl w:val="0EB80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2335880">
    <w:abstractNumId w:val="20"/>
  </w:num>
  <w:num w:numId="2" w16cid:durableId="1228495463">
    <w:abstractNumId w:val="32"/>
  </w:num>
  <w:num w:numId="3" w16cid:durableId="1193684326">
    <w:abstractNumId w:val="1"/>
  </w:num>
  <w:num w:numId="4" w16cid:durableId="1108812051">
    <w:abstractNumId w:val="14"/>
  </w:num>
  <w:num w:numId="5" w16cid:durableId="1112633099">
    <w:abstractNumId w:val="21"/>
  </w:num>
  <w:num w:numId="6" w16cid:durableId="2047440895">
    <w:abstractNumId w:val="25"/>
  </w:num>
  <w:num w:numId="7" w16cid:durableId="1918515361">
    <w:abstractNumId w:val="18"/>
  </w:num>
  <w:num w:numId="8" w16cid:durableId="1127239398">
    <w:abstractNumId w:val="0"/>
  </w:num>
  <w:num w:numId="9" w16cid:durableId="837693654">
    <w:abstractNumId w:val="37"/>
  </w:num>
  <w:num w:numId="10" w16cid:durableId="1969579324">
    <w:abstractNumId w:val="30"/>
  </w:num>
  <w:num w:numId="11" w16cid:durableId="2040205559">
    <w:abstractNumId w:val="38"/>
  </w:num>
  <w:num w:numId="12" w16cid:durableId="2010331954">
    <w:abstractNumId w:val="4"/>
  </w:num>
  <w:num w:numId="13" w16cid:durableId="1948389762">
    <w:abstractNumId w:val="24"/>
  </w:num>
  <w:num w:numId="14" w16cid:durableId="968587336">
    <w:abstractNumId w:val="15"/>
  </w:num>
  <w:num w:numId="15" w16cid:durableId="2123038723">
    <w:abstractNumId w:val="13"/>
  </w:num>
  <w:num w:numId="16" w16cid:durableId="1080980864">
    <w:abstractNumId w:val="2"/>
  </w:num>
  <w:num w:numId="17" w16cid:durableId="1308894307">
    <w:abstractNumId w:val="12"/>
  </w:num>
  <w:num w:numId="18" w16cid:durableId="481316346">
    <w:abstractNumId w:val="19"/>
  </w:num>
  <w:num w:numId="19" w16cid:durableId="1314139454">
    <w:abstractNumId w:val="29"/>
  </w:num>
  <w:num w:numId="20" w16cid:durableId="323700266">
    <w:abstractNumId w:val="3"/>
  </w:num>
  <w:num w:numId="21" w16cid:durableId="1892111262">
    <w:abstractNumId w:val="8"/>
  </w:num>
  <w:num w:numId="22" w16cid:durableId="521555427">
    <w:abstractNumId w:val="28"/>
  </w:num>
  <w:num w:numId="23" w16cid:durableId="314577894">
    <w:abstractNumId w:val="16"/>
  </w:num>
  <w:num w:numId="24" w16cid:durableId="850605025">
    <w:abstractNumId w:val="5"/>
  </w:num>
  <w:num w:numId="25" w16cid:durableId="851651509">
    <w:abstractNumId w:val="7"/>
  </w:num>
  <w:num w:numId="26" w16cid:durableId="2072802981">
    <w:abstractNumId w:val="23"/>
  </w:num>
  <w:num w:numId="27" w16cid:durableId="1884710380">
    <w:abstractNumId w:val="26"/>
  </w:num>
  <w:num w:numId="28" w16cid:durableId="1104881498">
    <w:abstractNumId w:val="31"/>
  </w:num>
  <w:num w:numId="29" w16cid:durableId="1785805833">
    <w:abstractNumId w:val="35"/>
  </w:num>
  <w:num w:numId="30" w16cid:durableId="2029603936">
    <w:abstractNumId w:val="17"/>
  </w:num>
  <w:num w:numId="31" w16cid:durableId="2132479893">
    <w:abstractNumId w:val="11"/>
  </w:num>
  <w:num w:numId="32" w16cid:durableId="1121992790">
    <w:abstractNumId w:val="27"/>
  </w:num>
  <w:num w:numId="33" w16cid:durableId="469443369">
    <w:abstractNumId w:val="39"/>
  </w:num>
  <w:num w:numId="34" w16cid:durableId="1200363496">
    <w:abstractNumId w:val="6"/>
  </w:num>
  <w:num w:numId="35" w16cid:durableId="187908931">
    <w:abstractNumId w:val="33"/>
  </w:num>
  <w:num w:numId="36" w16cid:durableId="1078557648">
    <w:abstractNumId w:val="9"/>
  </w:num>
  <w:num w:numId="37" w16cid:durableId="210109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3311071">
    <w:abstractNumId w:val="36"/>
  </w:num>
  <w:num w:numId="39" w16cid:durableId="1214536926">
    <w:abstractNumId w:val="4"/>
  </w:num>
  <w:num w:numId="40" w16cid:durableId="916867865">
    <w:abstractNumId w:val="22"/>
  </w:num>
  <w:num w:numId="41" w16cid:durableId="862091596">
    <w:abstractNumId w:val="10"/>
  </w:num>
  <w:num w:numId="42" w16cid:durableId="25671365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3F"/>
    <w:rsid w:val="0000004E"/>
    <w:rsid w:val="000000A2"/>
    <w:rsid w:val="000000C1"/>
    <w:rsid w:val="000000EB"/>
    <w:rsid w:val="00000333"/>
    <w:rsid w:val="0000053A"/>
    <w:rsid w:val="00000572"/>
    <w:rsid w:val="000005CF"/>
    <w:rsid w:val="00000707"/>
    <w:rsid w:val="00000796"/>
    <w:rsid w:val="000007D8"/>
    <w:rsid w:val="00000848"/>
    <w:rsid w:val="000009CA"/>
    <w:rsid w:val="00000C44"/>
    <w:rsid w:val="00000CF5"/>
    <w:rsid w:val="00000CFD"/>
    <w:rsid w:val="00000D27"/>
    <w:rsid w:val="00000D5C"/>
    <w:rsid w:val="00000EB7"/>
    <w:rsid w:val="00000ECC"/>
    <w:rsid w:val="00001526"/>
    <w:rsid w:val="00001623"/>
    <w:rsid w:val="000016E5"/>
    <w:rsid w:val="0000187C"/>
    <w:rsid w:val="00001AC5"/>
    <w:rsid w:val="00001D39"/>
    <w:rsid w:val="00002016"/>
    <w:rsid w:val="00002299"/>
    <w:rsid w:val="00002415"/>
    <w:rsid w:val="00002687"/>
    <w:rsid w:val="0000269C"/>
    <w:rsid w:val="000027D0"/>
    <w:rsid w:val="00002A00"/>
    <w:rsid w:val="00002A9D"/>
    <w:rsid w:val="00002AF8"/>
    <w:rsid w:val="00002B53"/>
    <w:rsid w:val="00002FB7"/>
    <w:rsid w:val="00003047"/>
    <w:rsid w:val="000030CD"/>
    <w:rsid w:val="00003169"/>
    <w:rsid w:val="000031EB"/>
    <w:rsid w:val="000031F8"/>
    <w:rsid w:val="000032DC"/>
    <w:rsid w:val="00003439"/>
    <w:rsid w:val="0000353A"/>
    <w:rsid w:val="00003795"/>
    <w:rsid w:val="00003AD5"/>
    <w:rsid w:val="00003B95"/>
    <w:rsid w:val="00003B9E"/>
    <w:rsid w:val="00003C4A"/>
    <w:rsid w:val="00003E66"/>
    <w:rsid w:val="0000404A"/>
    <w:rsid w:val="00004075"/>
    <w:rsid w:val="00004101"/>
    <w:rsid w:val="000044FF"/>
    <w:rsid w:val="0000463D"/>
    <w:rsid w:val="00004740"/>
    <w:rsid w:val="00004990"/>
    <w:rsid w:val="00004995"/>
    <w:rsid w:val="000049F0"/>
    <w:rsid w:val="00004C93"/>
    <w:rsid w:val="00004E4C"/>
    <w:rsid w:val="00004E65"/>
    <w:rsid w:val="00004FC4"/>
    <w:rsid w:val="00005053"/>
    <w:rsid w:val="000050F4"/>
    <w:rsid w:val="00005168"/>
    <w:rsid w:val="00005370"/>
    <w:rsid w:val="00005502"/>
    <w:rsid w:val="00005609"/>
    <w:rsid w:val="000056AC"/>
    <w:rsid w:val="00005786"/>
    <w:rsid w:val="0000580E"/>
    <w:rsid w:val="000058B6"/>
    <w:rsid w:val="000058ED"/>
    <w:rsid w:val="00005962"/>
    <w:rsid w:val="00005CAD"/>
    <w:rsid w:val="00005D76"/>
    <w:rsid w:val="00005F9E"/>
    <w:rsid w:val="0000630F"/>
    <w:rsid w:val="0000637C"/>
    <w:rsid w:val="00006401"/>
    <w:rsid w:val="0000646B"/>
    <w:rsid w:val="00006510"/>
    <w:rsid w:val="0000657E"/>
    <w:rsid w:val="0000660B"/>
    <w:rsid w:val="00006697"/>
    <w:rsid w:val="000066A6"/>
    <w:rsid w:val="0000687F"/>
    <w:rsid w:val="00006920"/>
    <w:rsid w:val="0000692C"/>
    <w:rsid w:val="00006B27"/>
    <w:rsid w:val="00006B77"/>
    <w:rsid w:val="00006B81"/>
    <w:rsid w:val="00006D3D"/>
    <w:rsid w:val="00006EE5"/>
    <w:rsid w:val="000075E7"/>
    <w:rsid w:val="00007628"/>
    <w:rsid w:val="0000768C"/>
    <w:rsid w:val="000076F6"/>
    <w:rsid w:val="00007739"/>
    <w:rsid w:val="00007860"/>
    <w:rsid w:val="0000796C"/>
    <w:rsid w:val="0000799A"/>
    <w:rsid w:val="000079E3"/>
    <w:rsid w:val="00007A87"/>
    <w:rsid w:val="00007D14"/>
    <w:rsid w:val="00010048"/>
    <w:rsid w:val="000102B7"/>
    <w:rsid w:val="0001031D"/>
    <w:rsid w:val="00010393"/>
    <w:rsid w:val="0001047E"/>
    <w:rsid w:val="00010511"/>
    <w:rsid w:val="00010658"/>
    <w:rsid w:val="000106C2"/>
    <w:rsid w:val="0001073F"/>
    <w:rsid w:val="00010997"/>
    <w:rsid w:val="000109EA"/>
    <w:rsid w:val="00010ABB"/>
    <w:rsid w:val="00010AE2"/>
    <w:rsid w:val="0001104A"/>
    <w:rsid w:val="000110A8"/>
    <w:rsid w:val="0001141A"/>
    <w:rsid w:val="0001174D"/>
    <w:rsid w:val="0001188D"/>
    <w:rsid w:val="00011A09"/>
    <w:rsid w:val="00011BA0"/>
    <w:rsid w:val="00011D85"/>
    <w:rsid w:val="000121B7"/>
    <w:rsid w:val="00012311"/>
    <w:rsid w:val="00012485"/>
    <w:rsid w:val="000126AA"/>
    <w:rsid w:val="000126B7"/>
    <w:rsid w:val="000127AF"/>
    <w:rsid w:val="000128A0"/>
    <w:rsid w:val="000128BA"/>
    <w:rsid w:val="0001291B"/>
    <w:rsid w:val="00012CAC"/>
    <w:rsid w:val="00013198"/>
    <w:rsid w:val="0001334B"/>
    <w:rsid w:val="0001427B"/>
    <w:rsid w:val="00014318"/>
    <w:rsid w:val="000143C2"/>
    <w:rsid w:val="0001447A"/>
    <w:rsid w:val="0001470A"/>
    <w:rsid w:val="0001489B"/>
    <w:rsid w:val="000149E3"/>
    <w:rsid w:val="00014A4E"/>
    <w:rsid w:val="00014B21"/>
    <w:rsid w:val="00014B88"/>
    <w:rsid w:val="00014C9E"/>
    <w:rsid w:val="00014DB9"/>
    <w:rsid w:val="00014FF1"/>
    <w:rsid w:val="0001513E"/>
    <w:rsid w:val="0001554E"/>
    <w:rsid w:val="00015663"/>
    <w:rsid w:val="00015689"/>
    <w:rsid w:val="00015698"/>
    <w:rsid w:val="00015848"/>
    <w:rsid w:val="000158D4"/>
    <w:rsid w:val="00015CAD"/>
    <w:rsid w:val="00015F05"/>
    <w:rsid w:val="00015FAC"/>
    <w:rsid w:val="00016080"/>
    <w:rsid w:val="000161CD"/>
    <w:rsid w:val="00016331"/>
    <w:rsid w:val="00016358"/>
    <w:rsid w:val="000163B8"/>
    <w:rsid w:val="0001656E"/>
    <w:rsid w:val="000166AF"/>
    <w:rsid w:val="000168AD"/>
    <w:rsid w:val="000169DE"/>
    <w:rsid w:val="00016BCE"/>
    <w:rsid w:val="00016C7C"/>
    <w:rsid w:val="00016C93"/>
    <w:rsid w:val="00016D09"/>
    <w:rsid w:val="00016F3F"/>
    <w:rsid w:val="00016FE4"/>
    <w:rsid w:val="00017126"/>
    <w:rsid w:val="00017369"/>
    <w:rsid w:val="0001740A"/>
    <w:rsid w:val="000175E9"/>
    <w:rsid w:val="00017808"/>
    <w:rsid w:val="000178DA"/>
    <w:rsid w:val="00017D8D"/>
    <w:rsid w:val="000200FC"/>
    <w:rsid w:val="0002020A"/>
    <w:rsid w:val="0002074E"/>
    <w:rsid w:val="00020899"/>
    <w:rsid w:val="00020A22"/>
    <w:rsid w:val="00020EEF"/>
    <w:rsid w:val="000210DC"/>
    <w:rsid w:val="00021108"/>
    <w:rsid w:val="00021249"/>
    <w:rsid w:val="0002140F"/>
    <w:rsid w:val="00021523"/>
    <w:rsid w:val="00021535"/>
    <w:rsid w:val="000215D5"/>
    <w:rsid w:val="00021649"/>
    <w:rsid w:val="0002166D"/>
    <w:rsid w:val="0002176A"/>
    <w:rsid w:val="000217D1"/>
    <w:rsid w:val="00021955"/>
    <w:rsid w:val="00021CB9"/>
    <w:rsid w:val="00021D93"/>
    <w:rsid w:val="00021DF3"/>
    <w:rsid w:val="00021E68"/>
    <w:rsid w:val="00022040"/>
    <w:rsid w:val="00022110"/>
    <w:rsid w:val="000221DF"/>
    <w:rsid w:val="000222CB"/>
    <w:rsid w:val="000224C2"/>
    <w:rsid w:val="000224FC"/>
    <w:rsid w:val="00022612"/>
    <w:rsid w:val="000226C3"/>
    <w:rsid w:val="0002274A"/>
    <w:rsid w:val="0002299C"/>
    <w:rsid w:val="00022BFA"/>
    <w:rsid w:val="00022F19"/>
    <w:rsid w:val="00022FC8"/>
    <w:rsid w:val="00023001"/>
    <w:rsid w:val="0002308E"/>
    <w:rsid w:val="000230C7"/>
    <w:rsid w:val="0002313B"/>
    <w:rsid w:val="0002314C"/>
    <w:rsid w:val="000231FE"/>
    <w:rsid w:val="0002368E"/>
    <w:rsid w:val="00023713"/>
    <w:rsid w:val="00023724"/>
    <w:rsid w:val="00023B66"/>
    <w:rsid w:val="00023E32"/>
    <w:rsid w:val="00023E85"/>
    <w:rsid w:val="00023F09"/>
    <w:rsid w:val="00023F5F"/>
    <w:rsid w:val="00023FB6"/>
    <w:rsid w:val="000240CC"/>
    <w:rsid w:val="000240F6"/>
    <w:rsid w:val="000241BA"/>
    <w:rsid w:val="00024377"/>
    <w:rsid w:val="0002454E"/>
    <w:rsid w:val="0002464E"/>
    <w:rsid w:val="000246D8"/>
    <w:rsid w:val="0002471C"/>
    <w:rsid w:val="0002472F"/>
    <w:rsid w:val="000249EE"/>
    <w:rsid w:val="00024A39"/>
    <w:rsid w:val="00024A7A"/>
    <w:rsid w:val="00024B3A"/>
    <w:rsid w:val="00024BD4"/>
    <w:rsid w:val="000250E2"/>
    <w:rsid w:val="0002513E"/>
    <w:rsid w:val="00025213"/>
    <w:rsid w:val="00025311"/>
    <w:rsid w:val="000253AE"/>
    <w:rsid w:val="0002547B"/>
    <w:rsid w:val="00025A09"/>
    <w:rsid w:val="00025A2E"/>
    <w:rsid w:val="00025A30"/>
    <w:rsid w:val="00025D99"/>
    <w:rsid w:val="00025DBA"/>
    <w:rsid w:val="00025E8A"/>
    <w:rsid w:val="00025F27"/>
    <w:rsid w:val="0002624F"/>
    <w:rsid w:val="00026288"/>
    <w:rsid w:val="000262B4"/>
    <w:rsid w:val="000262D6"/>
    <w:rsid w:val="00026682"/>
    <w:rsid w:val="00026686"/>
    <w:rsid w:val="000266E4"/>
    <w:rsid w:val="000269A2"/>
    <w:rsid w:val="000269A4"/>
    <w:rsid w:val="00026B39"/>
    <w:rsid w:val="00026B9E"/>
    <w:rsid w:val="00026CA8"/>
    <w:rsid w:val="00026CBC"/>
    <w:rsid w:val="00026D50"/>
    <w:rsid w:val="00026D64"/>
    <w:rsid w:val="00027317"/>
    <w:rsid w:val="0002731A"/>
    <w:rsid w:val="0002765C"/>
    <w:rsid w:val="000276E9"/>
    <w:rsid w:val="00027821"/>
    <w:rsid w:val="00027852"/>
    <w:rsid w:val="00027A10"/>
    <w:rsid w:val="00027B47"/>
    <w:rsid w:val="00027CC0"/>
    <w:rsid w:val="00027CF0"/>
    <w:rsid w:val="00027D5A"/>
    <w:rsid w:val="00027E47"/>
    <w:rsid w:val="0003004E"/>
    <w:rsid w:val="00030626"/>
    <w:rsid w:val="0003063D"/>
    <w:rsid w:val="0003070E"/>
    <w:rsid w:val="0003079F"/>
    <w:rsid w:val="0003083B"/>
    <w:rsid w:val="00030A2F"/>
    <w:rsid w:val="00030AB0"/>
    <w:rsid w:val="00030AC9"/>
    <w:rsid w:val="00030D24"/>
    <w:rsid w:val="00030E21"/>
    <w:rsid w:val="00030E55"/>
    <w:rsid w:val="00031498"/>
    <w:rsid w:val="000314BC"/>
    <w:rsid w:val="000314E3"/>
    <w:rsid w:val="000314FC"/>
    <w:rsid w:val="000315BB"/>
    <w:rsid w:val="00031795"/>
    <w:rsid w:val="0003185D"/>
    <w:rsid w:val="0003185E"/>
    <w:rsid w:val="0003185F"/>
    <w:rsid w:val="00031B7B"/>
    <w:rsid w:val="00031B8A"/>
    <w:rsid w:val="0003200F"/>
    <w:rsid w:val="00032298"/>
    <w:rsid w:val="00032483"/>
    <w:rsid w:val="00032587"/>
    <w:rsid w:val="0003263C"/>
    <w:rsid w:val="00032B28"/>
    <w:rsid w:val="00032C3C"/>
    <w:rsid w:val="00032C63"/>
    <w:rsid w:val="00032D2F"/>
    <w:rsid w:val="00032E1C"/>
    <w:rsid w:val="00032EF6"/>
    <w:rsid w:val="00032F44"/>
    <w:rsid w:val="00032F46"/>
    <w:rsid w:val="0003308F"/>
    <w:rsid w:val="00033445"/>
    <w:rsid w:val="000335D5"/>
    <w:rsid w:val="00033718"/>
    <w:rsid w:val="00033743"/>
    <w:rsid w:val="00033771"/>
    <w:rsid w:val="00033966"/>
    <w:rsid w:val="00033998"/>
    <w:rsid w:val="00033B26"/>
    <w:rsid w:val="00033C97"/>
    <w:rsid w:val="00033CC8"/>
    <w:rsid w:val="00033EC2"/>
    <w:rsid w:val="00034082"/>
    <w:rsid w:val="000343B5"/>
    <w:rsid w:val="000343D8"/>
    <w:rsid w:val="000345BB"/>
    <w:rsid w:val="00034765"/>
    <w:rsid w:val="00034C7F"/>
    <w:rsid w:val="00034C90"/>
    <w:rsid w:val="00034EDA"/>
    <w:rsid w:val="00034FAF"/>
    <w:rsid w:val="00034FFC"/>
    <w:rsid w:val="00035070"/>
    <w:rsid w:val="000350CB"/>
    <w:rsid w:val="000352D6"/>
    <w:rsid w:val="00035308"/>
    <w:rsid w:val="00035407"/>
    <w:rsid w:val="0003560A"/>
    <w:rsid w:val="000357FB"/>
    <w:rsid w:val="00035E16"/>
    <w:rsid w:val="00035EE0"/>
    <w:rsid w:val="0003610F"/>
    <w:rsid w:val="00036364"/>
    <w:rsid w:val="0003642A"/>
    <w:rsid w:val="00036435"/>
    <w:rsid w:val="000364F3"/>
    <w:rsid w:val="000366E9"/>
    <w:rsid w:val="00036AFD"/>
    <w:rsid w:val="00036B2D"/>
    <w:rsid w:val="00036D05"/>
    <w:rsid w:val="00036D5E"/>
    <w:rsid w:val="00036FC1"/>
    <w:rsid w:val="0003702B"/>
    <w:rsid w:val="000370F3"/>
    <w:rsid w:val="000374A2"/>
    <w:rsid w:val="000374FA"/>
    <w:rsid w:val="00037542"/>
    <w:rsid w:val="0003754B"/>
    <w:rsid w:val="00037590"/>
    <w:rsid w:val="0003788D"/>
    <w:rsid w:val="000379AA"/>
    <w:rsid w:val="00037C67"/>
    <w:rsid w:val="00037C9A"/>
    <w:rsid w:val="00037E52"/>
    <w:rsid w:val="00037EFC"/>
    <w:rsid w:val="00040068"/>
    <w:rsid w:val="00040322"/>
    <w:rsid w:val="000404BA"/>
    <w:rsid w:val="000405C6"/>
    <w:rsid w:val="000405D5"/>
    <w:rsid w:val="00040802"/>
    <w:rsid w:val="00040826"/>
    <w:rsid w:val="0004099A"/>
    <w:rsid w:val="00040D06"/>
    <w:rsid w:val="00040D3C"/>
    <w:rsid w:val="00040FD3"/>
    <w:rsid w:val="00041265"/>
    <w:rsid w:val="000412D4"/>
    <w:rsid w:val="00041317"/>
    <w:rsid w:val="000414EE"/>
    <w:rsid w:val="000415EE"/>
    <w:rsid w:val="000415F0"/>
    <w:rsid w:val="00041617"/>
    <w:rsid w:val="00041700"/>
    <w:rsid w:val="00041785"/>
    <w:rsid w:val="000419A6"/>
    <w:rsid w:val="00041E8E"/>
    <w:rsid w:val="00041EC2"/>
    <w:rsid w:val="00041F92"/>
    <w:rsid w:val="000421E2"/>
    <w:rsid w:val="00042510"/>
    <w:rsid w:val="000425B8"/>
    <w:rsid w:val="00042679"/>
    <w:rsid w:val="00042849"/>
    <w:rsid w:val="0004285C"/>
    <w:rsid w:val="00042866"/>
    <w:rsid w:val="00042B20"/>
    <w:rsid w:val="00042C12"/>
    <w:rsid w:val="00042CFA"/>
    <w:rsid w:val="00042EBA"/>
    <w:rsid w:val="00043021"/>
    <w:rsid w:val="000432E6"/>
    <w:rsid w:val="0004330C"/>
    <w:rsid w:val="000433A0"/>
    <w:rsid w:val="000434B2"/>
    <w:rsid w:val="000434D7"/>
    <w:rsid w:val="000434E9"/>
    <w:rsid w:val="00043573"/>
    <w:rsid w:val="000437C7"/>
    <w:rsid w:val="00043B81"/>
    <w:rsid w:val="00043C6F"/>
    <w:rsid w:val="00043C7D"/>
    <w:rsid w:val="00043D07"/>
    <w:rsid w:val="000440C3"/>
    <w:rsid w:val="00044321"/>
    <w:rsid w:val="00044458"/>
    <w:rsid w:val="0004454E"/>
    <w:rsid w:val="000446ED"/>
    <w:rsid w:val="0004471D"/>
    <w:rsid w:val="00044808"/>
    <w:rsid w:val="00044A8B"/>
    <w:rsid w:val="00044B08"/>
    <w:rsid w:val="00044DAF"/>
    <w:rsid w:val="00044F90"/>
    <w:rsid w:val="00044FC6"/>
    <w:rsid w:val="00045236"/>
    <w:rsid w:val="0004531B"/>
    <w:rsid w:val="000454C6"/>
    <w:rsid w:val="00045634"/>
    <w:rsid w:val="0004567E"/>
    <w:rsid w:val="000459E5"/>
    <w:rsid w:val="00046037"/>
    <w:rsid w:val="00046239"/>
    <w:rsid w:val="000465DD"/>
    <w:rsid w:val="00046694"/>
    <w:rsid w:val="0004686C"/>
    <w:rsid w:val="00046872"/>
    <w:rsid w:val="000468C2"/>
    <w:rsid w:val="000468E5"/>
    <w:rsid w:val="000468F4"/>
    <w:rsid w:val="0004699A"/>
    <w:rsid w:val="000469A1"/>
    <w:rsid w:val="00046B5A"/>
    <w:rsid w:val="00046CED"/>
    <w:rsid w:val="00046DE4"/>
    <w:rsid w:val="00047091"/>
    <w:rsid w:val="00047136"/>
    <w:rsid w:val="000476AB"/>
    <w:rsid w:val="0004782E"/>
    <w:rsid w:val="00047D61"/>
    <w:rsid w:val="00047DC7"/>
    <w:rsid w:val="00047E59"/>
    <w:rsid w:val="000500C5"/>
    <w:rsid w:val="000500DC"/>
    <w:rsid w:val="000502DC"/>
    <w:rsid w:val="000502F6"/>
    <w:rsid w:val="000504AF"/>
    <w:rsid w:val="00050749"/>
    <w:rsid w:val="000507E9"/>
    <w:rsid w:val="00050A29"/>
    <w:rsid w:val="00050B29"/>
    <w:rsid w:val="00050B98"/>
    <w:rsid w:val="00050CC7"/>
    <w:rsid w:val="00050D17"/>
    <w:rsid w:val="00050D1E"/>
    <w:rsid w:val="00050E24"/>
    <w:rsid w:val="0005106C"/>
    <w:rsid w:val="00051087"/>
    <w:rsid w:val="0005116B"/>
    <w:rsid w:val="000513CE"/>
    <w:rsid w:val="000514A9"/>
    <w:rsid w:val="00051532"/>
    <w:rsid w:val="00051598"/>
    <w:rsid w:val="00051BC1"/>
    <w:rsid w:val="00051E0B"/>
    <w:rsid w:val="000520BC"/>
    <w:rsid w:val="000521FA"/>
    <w:rsid w:val="000523BD"/>
    <w:rsid w:val="00052408"/>
    <w:rsid w:val="00052448"/>
    <w:rsid w:val="000525EE"/>
    <w:rsid w:val="000526E8"/>
    <w:rsid w:val="000526FF"/>
    <w:rsid w:val="00052844"/>
    <w:rsid w:val="0005284E"/>
    <w:rsid w:val="00052977"/>
    <w:rsid w:val="00052AE5"/>
    <w:rsid w:val="000533D8"/>
    <w:rsid w:val="000533EC"/>
    <w:rsid w:val="0005368C"/>
    <w:rsid w:val="00053741"/>
    <w:rsid w:val="000537EC"/>
    <w:rsid w:val="00053810"/>
    <w:rsid w:val="00053967"/>
    <w:rsid w:val="00053B22"/>
    <w:rsid w:val="00053B38"/>
    <w:rsid w:val="00053DAE"/>
    <w:rsid w:val="00053F11"/>
    <w:rsid w:val="0005401B"/>
    <w:rsid w:val="000540BB"/>
    <w:rsid w:val="000542C0"/>
    <w:rsid w:val="0005442C"/>
    <w:rsid w:val="000544EB"/>
    <w:rsid w:val="000546D9"/>
    <w:rsid w:val="00054756"/>
    <w:rsid w:val="00054C6B"/>
    <w:rsid w:val="000550DD"/>
    <w:rsid w:val="00055115"/>
    <w:rsid w:val="00055324"/>
    <w:rsid w:val="00055538"/>
    <w:rsid w:val="0005558A"/>
    <w:rsid w:val="00055617"/>
    <w:rsid w:val="0005582B"/>
    <w:rsid w:val="0005586D"/>
    <w:rsid w:val="000558B1"/>
    <w:rsid w:val="000559F6"/>
    <w:rsid w:val="00055A60"/>
    <w:rsid w:val="00056029"/>
    <w:rsid w:val="0005618E"/>
    <w:rsid w:val="00056202"/>
    <w:rsid w:val="00056259"/>
    <w:rsid w:val="000566E6"/>
    <w:rsid w:val="000569B0"/>
    <w:rsid w:val="00056A03"/>
    <w:rsid w:val="00056BCE"/>
    <w:rsid w:val="0005741E"/>
    <w:rsid w:val="0005765E"/>
    <w:rsid w:val="000579CF"/>
    <w:rsid w:val="00057D08"/>
    <w:rsid w:val="00057DF5"/>
    <w:rsid w:val="00057E41"/>
    <w:rsid w:val="00057EC8"/>
    <w:rsid w:val="00057F8C"/>
    <w:rsid w:val="00060306"/>
    <w:rsid w:val="000603C1"/>
    <w:rsid w:val="00060784"/>
    <w:rsid w:val="000609A7"/>
    <w:rsid w:val="00060DA3"/>
    <w:rsid w:val="00060DDD"/>
    <w:rsid w:val="00060DEB"/>
    <w:rsid w:val="00060FF0"/>
    <w:rsid w:val="000610C2"/>
    <w:rsid w:val="00061124"/>
    <w:rsid w:val="00061282"/>
    <w:rsid w:val="00061399"/>
    <w:rsid w:val="0006163C"/>
    <w:rsid w:val="000616EB"/>
    <w:rsid w:val="00061774"/>
    <w:rsid w:val="000618CC"/>
    <w:rsid w:val="00061CE6"/>
    <w:rsid w:val="00061F18"/>
    <w:rsid w:val="00061F29"/>
    <w:rsid w:val="00061F7A"/>
    <w:rsid w:val="00061FB3"/>
    <w:rsid w:val="000620B3"/>
    <w:rsid w:val="0006217B"/>
    <w:rsid w:val="00062185"/>
    <w:rsid w:val="000621BE"/>
    <w:rsid w:val="00062209"/>
    <w:rsid w:val="00062331"/>
    <w:rsid w:val="00062803"/>
    <w:rsid w:val="00062815"/>
    <w:rsid w:val="000628FE"/>
    <w:rsid w:val="000629DE"/>
    <w:rsid w:val="00062B0D"/>
    <w:rsid w:val="00062B8C"/>
    <w:rsid w:val="00062BB1"/>
    <w:rsid w:val="00062BDA"/>
    <w:rsid w:val="00062C04"/>
    <w:rsid w:val="00062C24"/>
    <w:rsid w:val="00062CE2"/>
    <w:rsid w:val="00062D07"/>
    <w:rsid w:val="00062D10"/>
    <w:rsid w:val="00062DB5"/>
    <w:rsid w:val="00062E37"/>
    <w:rsid w:val="00063150"/>
    <w:rsid w:val="000631DB"/>
    <w:rsid w:val="000632C5"/>
    <w:rsid w:val="0006366A"/>
    <w:rsid w:val="0006375A"/>
    <w:rsid w:val="00063ACD"/>
    <w:rsid w:val="00063DEA"/>
    <w:rsid w:val="00063E95"/>
    <w:rsid w:val="00063EDB"/>
    <w:rsid w:val="00064051"/>
    <w:rsid w:val="00064083"/>
    <w:rsid w:val="0006408F"/>
    <w:rsid w:val="000640CA"/>
    <w:rsid w:val="00064252"/>
    <w:rsid w:val="000646B2"/>
    <w:rsid w:val="000646BD"/>
    <w:rsid w:val="00064794"/>
    <w:rsid w:val="00064A80"/>
    <w:rsid w:val="00064C70"/>
    <w:rsid w:val="00064CC4"/>
    <w:rsid w:val="00065187"/>
    <w:rsid w:val="000652A3"/>
    <w:rsid w:val="000652AA"/>
    <w:rsid w:val="00065314"/>
    <w:rsid w:val="00065734"/>
    <w:rsid w:val="00065882"/>
    <w:rsid w:val="000658D5"/>
    <w:rsid w:val="000658DB"/>
    <w:rsid w:val="000659EB"/>
    <w:rsid w:val="00065D37"/>
    <w:rsid w:val="00066050"/>
    <w:rsid w:val="0006615C"/>
    <w:rsid w:val="000661E8"/>
    <w:rsid w:val="0006652B"/>
    <w:rsid w:val="00066572"/>
    <w:rsid w:val="0006696E"/>
    <w:rsid w:val="00066BF7"/>
    <w:rsid w:val="00066D97"/>
    <w:rsid w:val="00066ECC"/>
    <w:rsid w:val="00066F43"/>
    <w:rsid w:val="00067156"/>
    <w:rsid w:val="000673D2"/>
    <w:rsid w:val="000674F1"/>
    <w:rsid w:val="00067676"/>
    <w:rsid w:val="000676A0"/>
    <w:rsid w:val="0006782B"/>
    <w:rsid w:val="000679B6"/>
    <w:rsid w:val="000679DF"/>
    <w:rsid w:val="00067AB7"/>
    <w:rsid w:val="00067BEB"/>
    <w:rsid w:val="00067C31"/>
    <w:rsid w:val="00067CD2"/>
    <w:rsid w:val="00067EF0"/>
    <w:rsid w:val="00067F88"/>
    <w:rsid w:val="00067FF8"/>
    <w:rsid w:val="00070047"/>
    <w:rsid w:val="00070170"/>
    <w:rsid w:val="00070251"/>
    <w:rsid w:val="0007030D"/>
    <w:rsid w:val="00070382"/>
    <w:rsid w:val="000703E8"/>
    <w:rsid w:val="00070408"/>
    <w:rsid w:val="000704EA"/>
    <w:rsid w:val="00070501"/>
    <w:rsid w:val="0007068F"/>
    <w:rsid w:val="0007094C"/>
    <w:rsid w:val="00070A33"/>
    <w:rsid w:val="00070BB9"/>
    <w:rsid w:val="00070D31"/>
    <w:rsid w:val="00070F5D"/>
    <w:rsid w:val="00070F73"/>
    <w:rsid w:val="00071030"/>
    <w:rsid w:val="000711FE"/>
    <w:rsid w:val="000713D6"/>
    <w:rsid w:val="000714ED"/>
    <w:rsid w:val="000715DF"/>
    <w:rsid w:val="00071709"/>
    <w:rsid w:val="000717D9"/>
    <w:rsid w:val="00071873"/>
    <w:rsid w:val="00071AD8"/>
    <w:rsid w:val="00071BCB"/>
    <w:rsid w:val="00071DE1"/>
    <w:rsid w:val="00071E0B"/>
    <w:rsid w:val="0007254C"/>
    <w:rsid w:val="000726D0"/>
    <w:rsid w:val="00072A65"/>
    <w:rsid w:val="00072A69"/>
    <w:rsid w:val="00072AF4"/>
    <w:rsid w:val="00072AFA"/>
    <w:rsid w:val="00072BF6"/>
    <w:rsid w:val="00072DCB"/>
    <w:rsid w:val="00072E5A"/>
    <w:rsid w:val="00072FDA"/>
    <w:rsid w:val="000730D8"/>
    <w:rsid w:val="0007313F"/>
    <w:rsid w:val="000732D4"/>
    <w:rsid w:val="0007344F"/>
    <w:rsid w:val="000734D8"/>
    <w:rsid w:val="0007351C"/>
    <w:rsid w:val="0007365D"/>
    <w:rsid w:val="00073665"/>
    <w:rsid w:val="000736FE"/>
    <w:rsid w:val="0007383A"/>
    <w:rsid w:val="00073877"/>
    <w:rsid w:val="00073A20"/>
    <w:rsid w:val="00073ADC"/>
    <w:rsid w:val="00073CF6"/>
    <w:rsid w:val="00073DF8"/>
    <w:rsid w:val="00073F40"/>
    <w:rsid w:val="0007433B"/>
    <w:rsid w:val="000743D4"/>
    <w:rsid w:val="000743EF"/>
    <w:rsid w:val="000747D3"/>
    <w:rsid w:val="00074DF0"/>
    <w:rsid w:val="00074E71"/>
    <w:rsid w:val="00074F4E"/>
    <w:rsid w:val="00074F51"/>
    <w:rsid w:val="000753FE"/>
    <w:rsid w:val="00075499"/>
    <w:rsid w:val="00075536"/>
    <w:rsid w:val="0007556C"/>
    <w:rsid w:val="000755DA"/>
    <w:rsid w:val="00075600"/>
    <w:rsid w:val="000756F9"/>
    <w:rsid w:val="0007574A"/>
    <w:rsid w:val="000757A6"/>
    <w:rsid w:val="00075825"/>
    <w:rsid w:val="00075A2F"/>
    <w:rsid w:val="00075C70"/>
    <w:rsid w:val="00075D5C"/>
    <w:rsid w:val="00075F19"/>
    <w:rsid w:val="00076030"/>
    <w:rsid w:val="000762D8"/>
    <w:rsid w:val="0007647C"/>
    <w:rsid w:val="0007651D"/>
    <w:rsid w:val="00076540"/>
    <w:rsid w:val="000765C3"/>
    <w:rsid w:val="000765DA"/>
    <w:rsid w:val="0007661D"/>
    <w:rsid w:val="000766A1"/>
    <w:rsid w:val="00076AED"/>
    <w:rsid w:val="00076B24"/>
    <w:rsid w:val="00076C34"/>
    <w:rsid w:val="00076C4C"/>
    <w:rsid w:val="00076DF3"/>
    <w:rsid w:val="00076E8F"/>
    <w:rsid w:val="00076EE1"/>
    <w:rsid w:val="0007707F"/>
    <w:rsid w:val="000771C8"/>
    <w:rsid w:val="00077281"/>
    <w:rsid w:val="0007737D"/>
    <w:rsid w:val="00077731"/>
    <w:rsid w:val="0007798D"/>
    <w:rsid w:val="00077B19"/>
    <w:rsid w:val="00077B27"/>
    <w:rsid w:val="00077D17"/>
    <w:rsid w:val="00077DEE"/>
    <w:rsid w:val="00077E00"/>
    <w:rsid w:val="00077EB4"/>
    <w:rsid w:val="00077F2F"/>
    <w:rsid w:val="00077F55"/>
    <w:rsid w:val="00077F68"/>
    <w:rsid w:val="000801BB"/>
    <w:rsid w:val="00080383"/>
    <w:rsid w:val="000803E9"/>
    <w:rsid w:val="0008052D"/>
    <w:rsid w:val="00080ABF"/>
    <w:rsid w:val="00080BAB"/>
    <w:rsid w:val="00080C24"/>
    <w:rsid w:val="00080DBA"/>
    <w:rsid w:val="00080E8D"/>
    <w:rsid w:val="00080F5F"/>
    <w:rsid w:val="00080F78"/>
    <w:rsid w:val="00080FB8"/>
    <w:rsid w:val="000810C4"/>
    <w:rsid w:val="0008142A"/>
    <w:rsid w:val="000814E0"/>
    <w:rsid w:val="00081589"/>
    <w:rsid w:val="0008160D"/>
    <w:rsid w:val="00081657"/>
    <w:rsid w:val="000816E3"/>
    <w:rsid w:val="00081979"/>
    <w:rsid w:val="000819C5"/>
    <w:rsid w:val="00081A38"/>
    <w:rsid w:val="00081AE1"/>
    <w:rsid w:val="00081C8F"/>
    <w:rsid w:val="00082031"/>
    <w:rsid w:val="0008203F"/>
    <w:rsid w:val="000822D3"/>
    <w:rsid w:val="000824AA"/>
    <w:rsid w:val="0008251D"/>
    <w:rsid w:val="00082550"/>
    <w:rsid w:val="00082557"/>
    <w:rsid w:val="000827D5"/>
    <w:rsid w:val="0008283D"/>
    <w:rsid w:val="000828C0"/>
    <w:rsid w:val="00082937"/>
    <w:rsid w:val="00082AD1"/>
    <w:rsid w:val="00082B1F"/>
    <w:rsid w:val="00082B74"/>
    <w:rsid w:val="00082C19"/>
    <w:rsid w:val="00082DC7"/>
    <w:rsid w:val="0008303B"/>
    <w:rsid w:val="000830AC"/>
    <w:rsid w:val="0008364B"/>
    <w:rsid w:val="000839CB"/>
    <w:rsid w:val="00083EBA"/>
    <w:rsid w:val="00084259"/>
    <w:rsid w:val="0008431F"/>
    <w:rsid w:val="000843DC"/>
    <w:rsid w:val="000844CA"/>
    <w:rsid w:val="0008453B"/>
    <w:rsid w:val="00084676"/>
    <w:rsid w:val="0008490B"/>
    <w:rsid w:val="0008490F"/>
    <w:rsid w:val="000849F1"/>
    <w:rsid w:val="00084E2E"/>
    <w:rsid w:val="00084E3A"/>
    <w:rsid w:val="00084E8C"/>
    <w:rsid w:val="00084F50"/>
    <w:rsid w:val="0008514A"/>
    <w:rsid w:val="000853ED"/>
    <w:rsid w:val="00085533"/>
    <w:rsid w:val="000856F5"/>
    <w:rsid w:val="00085819"/>
    <w:rsid w:val="00085A43"/>
    <w:rsid w:val="00085A6A"/>
    <w:rsid w:val="000860BF"/>
    <w:rsid w:val="00086138"/>
    <w:rsid w:val="00086563"/>
    <w:rsid w:val="00086878"/>
    <w:rsid w:val="0008688E"/>
    <w:rsid w:val="00086A06"/>
    <w:rsid w:val="00086D15"/>
    <w:rsid w:val="00086E69"/>
    <w:rsid w:val="00086F53"/>
    <w:rsid w:val="00087267"/>
    <w:rsid w:val="00087318"/>
    <w:rsid w:val="0008758B"/>
    <w:rsid w:val="00087676"/>
    <w:rsid w:val="00087685"/>
    <w:rsid w:val="0008774B"/>
    <w:rsid w:val="0008794B"/>
    <w:rsid w:val="00087B27"/>
    <w:rsid w:val="00087C5A"/>
    <w:rsid w:val="00087D51"/>
    <w:rsid w:val="00087DA2"/>
    <w:rsid w:val="00087F95"/>
    <w:rsid w:val="00090156"/>
    <w:rsid w:val="0009035D"/>
    <w:rsid w:val="0009036D"/>
    <w:rsid w:val="000903EE"/>
    <w:rsid w:val="0009045A"/>
    <w:rsid w:val="0009054B"/>
    <w:rsid w:val="00090884"/>
    <w:rsid w:val="00090AE1"/>
    <w:rsid w:val="00090CDC"/>
    <w:rsid w:val="00090D9E"/>
    <w:rsid w:val="00090E2D"/>
    <w:rsid w:val="00090EB0"/>
    <w:rsid w:val="00090F48"/>
    <w:rsid w:val="000911A7"/>
    <w:rsid w:val="00091417"/>
    <w:rsid w:val="000914CF"/>
    <w:rsid w:val="000915F4"/>
    <w:rsid w:val="00091699"/>
    <w:rsid w:val="000917DD"/>
    <w:rsid w:val="00091A56"/>
    <w:rsid w:val="00091C3C"/>
    <w:rsid w:val="00091CDB"/>
    <w:rsid w:val="00091D3B"/>
    <w:rsid w:val="00092057"/>
    <w:rsid w:val="000921DC"/>
    <w:rsid w:val="000925D3"/>
    <w:rsid w:val="00092AC4"/>
    <w:rsid w:val="00092EA5"/>
    <w:rsid w:val="00092EB4"/>
    <w:rsid w:val="0009316D"/>
    <w:rsid w:val="000931F4"/>
    <w:rsid w:val="00093258"/>
    <w:rsid w:val="00093378"/>
    <w:rsid w:val="0009373D"/>
    <w:rsid w:val="00093AE5"/>
    <w:rsid w:val="00093D6B"/>
    <w:rsid w:val="00093DCB"/>
    <w:rsid w:val="00094107"/>
    <w:rsid w:val="0009411E"/>
    <w:rsid w:val="00094266"/>
    <w:rsid w:val="000942A2"/>
    <w:rsid w:val="000942EF"/>
    <w:rsid w:val="0009469A"/>
    <w:rsid w:val="00094DC0"/>
    <w:rsid w:val="00094E2D"/>
    <w:rsid w:val="00094F21"/>
    <w:rsid w:val="00095096"/>
    <w:rsid w:val="000950DE"/>
    <w:rsid w:val="000951F5"/>
    <w:rsid w:val="00095304"/>
    <w:rsid w:val="00095326"/>
    <w:rsid w:val="00095725"/>
    <w:rsid w:val="00095774"/>
    <w:rsid w:val="00095977"/>
    <w:rsid w:val="00095C4D"/>
    <w:rsid w:val="00095CCD"/>
    <w:rsid w:val="00095CE2"/>
    <w:rsid w:val="00095D0F"/>
    <w:rsid w:val="00095EBF"/>
    <w:rsid w:val="000960C1"/>
    <w:rsid w:val="00096248"/>
    <w:rsid w:val="000962BB"/>
    <w:rsid w:val="00096323"/>
    <w:rsid w:val="000963B5"/>
    <w:rsid w:val="00096602"/>
    <w:rsid w:val="00096756"/>
    <w:rsid w:val="0009678F"/>
    <w:rsid w:val="000969AB"/>
    <w:rsid w:val="000969ED"/>
    <w:rsid w:val="00096A8D"/>
    <w:rsid w:val="00096B5E"/>
    <w:rsid w:val="00096C21"/>
    <w:rsid w:val="00096C89"/>
    <w:rsid w:val="00096F39"/>
    <w:rsid w:val="00096F6C"/>
    <w:rsid w:val="00096FAB"/>
    <w:rsid w:val="00097076"/>
    <w:rsid w:val="000971C0"/>
    <w:rsid w:val="000973FD"/>
    <w:rsid w:val="000974BD"/>
    <w:rsid w:val="000976D2"/>
    <w:rsid w:val="000976DA"/>
    <w:rsid w:val="00097955"/>
    <w:rsid w:val="00097A9F"/>
    <w:rsid w:val="00097D62"/>
    <w:rsid w:val="00097D95"/>
    <w:rsid w:val="00097EED"/>
    <w:rsid w:val="00097F26"/>
    <w:rsid w:val="000A0038"/>
    <w:rsid w:val="000A013D"/>
    <w:rsid w:val="000A0599"/>
    <w:rsid w:val="000A0907"/>
    <w:rsid w:val="000A09DA"/>
    <w:rsid w:val="000A0BC2"/>
    <w:rsid w:val="000A0BD1"/>
    <w:rsid w:val="000A1046"/>
    <w:rsid w:val="000A10AB"/>
    <w:rsid w:val="000A14DF"/>
    <w:rsid w:val="000A1784"/>
    <w:rsid w:val="000A1813"/>
    <w:rsid w:val="000A19BF"/>
    <w:rsid w:val="000A19D6"/>
    <w:rsid w:val="000A1ED2"/>
    <w:rsid w:val="000A2086"/>
    <w:rsid w:val="000A23A4"/>
    <w:rsid w:val="000A2697"/>
    <w:rsid w:val="000A2805"/>
    <w:rsid w:val="000A289C"/>
    <w:rsid w:val="000A2C19"/>
    <w:rsid w:val="000A30CF"/>
    <w:rsid w:val="000A323A"/>
    <w:rsid w:val="000A33DB"/>
    <w:rsid w:val="000A364F"/>
    <w:rsid w:val="000A3674"/>
    <w:rsid w:val="000A39AC"/>
    <w:rsid w:val="000A3C9F"/>
    <w:rsid w:val="000A3DB3"/>
    <w:rsid w:val="000A3E50"/>
    <w:rsid w:val="000A3F7F"/>
    <w:rsid w:val="000A436F"/>
    <w:rsid w:val="000A4395"/>
    <w:rsid w:val="000A4534"/>
    <w:rsid w:val="000A46BF"/>
    <w:rsid w:val="000A4959"/>
    <w:rsid w:val="000A4B27"/>
    <w:rsid w:val="000A4BE7"/>
    <w:rsid w:val="000A4C36"/>
    <w:rsid w:val="000A54B8"/>
    <w:rsid w:val="000A554D"/>
    <w:rsid w:val="000A5C09"/>
    <w:rsid w:val="000A5C84"/>
    <w:rsid w:val="000A5DF5"/>
    <w:rsid w:val="000A5EFD"/>
    <w:rsid w:val="000A5F76"/>
    <w:rsid w:val="000A6154"/>
    <w:rsid w:val="000A64B1"/>
    <w:rsid w:val="000A6637"/>
    <w:rsid w:val="000A66EB"/>
    <w:rsid w:val="000A68EE"/>
    <w:rsid w:val="000A6DB3"/>
    <w:rsid w:val="000A6DDC"/>
    <w:rsid w:val="000A6E34"/>
    <w:rsid w:val="000A6E66"/>
    <w:rsid w:val="000A6E83"/>
    <w:rsid w:val="000A6F3C"/>
    <w:rsid w:val="000A7059"/>
    <w:rsid w:val="000A70CF"/>
    <w:rsid w:val="000A70EA"/>
    <w:rsid w:val="000A7659"/>
    <w:rsid w:val="000A7A20"/>
    <w:rsid w:val="000A7A9F"/>
    <w:rsid w:val="000A7AC9"/>
    <w:rsid w:val="000A7B72"/>
    <w:rsid w:val="000A7BEB"/>
    <w:rsid w:val="000A7C34"/>
    <w:rsid w:val="000A7CFF"/>
    <w:rsid w:val="000A7DD5"/>
    <w:rsid w:val="000A7E1D"/>
    <w:rsid w:val="000A7F0D"/>
    <w:rsid w:val="000A7FAA"/>
    <w:rsid w:val="000A7FE6"/>
    <w:rsid w:val="000B0104"/>
    <w:rsid w:val="000B02D9"/>
    <w:rsid w:val="000B07A7"/>
    <w:rsid w:val="000B087A"/>
    <w:rsid w:val="000B094B"/>
    <w:rsid w:val="000B0A06"/>
    <w:rsid w:val="000B0AA3"/>
    <w:rsid w:val="000B0BD8"/>
    <w:rsid w:val="000B0C49"/>
    <w:rsid w:val="000B0EDE"/>
    <w:rsid w:val="000B1079"/>
    <w:rsid w:val="000B10A0"/>
    <w:rsid w:val="000B1143"/>
    <w:rsid w:val="000B11D5"/>
    <w:rsid w:val="000B12CD"/>
    <w:rsid w:val="000B1636"/>
    <w:rsid w:val="000B168C"/>
    <w:rsid w:val="000B16CB"/>
    <w:rsid w:val="000B17F7"/>
    <w:rsid w:val="000B1A43"/>
    <w:rsid w:val="000B1BD2"/>
    <w:rsid w:val="000B1C23"/>
    <w:rsid w:val="000B1CB3"/>
    <w:rsid w:val="000B201B"/>
    <w:rsid w:val="000B20AD"/>
    <w:rsid w:val="000B21BD"/>
    <w:rsid w:val="000B28AE"/>
    <w:rsid w:val="000B2D19"/>
    <w:rsid w:val="000B2DD1"/>
    <w:rsid w:val="000B2DDA"/>
    <w:rsid w:val="000B3096"/>
    <w:rsid w:val="000B321D"/>
    <w:rsid w:val="000B3273"/>
    <w:rsid w:val="000B32FA"/>
    <w:rsid w:val="000B33C0"/>
    <w:rsid w:val="000B3491"/>
    <w:rsid w:val="000B3920"/>
    <w:rsid w:val="000B3974"/>
    <w:rsid w:val="000B3BDD"/>
    <w:rsid w:val="000B3EB3"/>
    <w:rsid w:val="000B400A"/>
    <w:rsid w:val="000B401F"/>
    <w:rsid w:val="000B410B"/>
    <w:rsid w:val="000B4121"/>
    <w:rsid w:val="000B43C0"/>
    <w:rsid w:val="000B488F"/>
    <w:rsid w:val="000B489C"/>
    <w:rsid w:val="000B4954"/>
    <w:rsid w:val="000B4B9C"/>
    <w:rsid w:val="000B4CD2"/>
    <w:rsid w:val="000B4D21"/>
    <w:rsid w:val="000B4F45"/>
    <w:rsid w:val="000B50FD"/>
    <w:rsid w:val="000B5135"/>
    <w:rsid w:val="000B5160"/>
    <w:rsid w:val="000B525F"/>
    <w:rsid w:val="000B5600"/>
    <w:rsid w:val="000B5704"/>
    <w:rsid w:val="000B58C1"/>
    <w:rsid w:val="000B5998"/>
    <w:rsid w:val="000B5AFA"/>
    <w:rsid w:val="000B5C4A"/>
    <w:rsid w:val="000B5D7B"/>
    <w:rsid w:val="000B5DC1"/>
    <w:rsid w:val="000B60B3"/>
    <w:rsid w:val="000B60B6"/>
    <w:rsid w:val="000B614D"/>
    <w:rsid w:val="000B62B6"/>
    <w:rsid w:val="000B6391"/>
    <w:rsid w:val="000B64AE"/>
    <w:rsid w:val="000B698D"/>
    <w:rsid w:val="000B6A41"/>
    <w:rsid w:val="000B6BD7"/>
    <w:rsid w:val="000B6DFC"/>
    <w:rsid w:val="000B6F28"/>
    <w:rsid w:val="000B6FE7"/>
    <w:rsid w:val="000B7031"/>
    <w:rsid w:val="000B70D2"/>
    <w:rsid w:val="000B7220"/>
    <w:rsid w:val="000B7249"/>
    <w:rsid w:val="000B748D"/>
    <w:rsid w:val="000B775A"/>
    <w:rsid w:val="000B7A17"/>
    <w:rsid w:val="000B7AA1"/>
    <w:rsid w:val="000B7BF2"/>
    <w:rsid w:val="000B7C50"/>
    <w:rsid w:val="000B7C88"/>
    <w:rsid w:val="000C001D"/>
    <w:rsid w:val="000C0058"/>
    <w:rsid w:val="000C01A6"/>
    <w:rsid w:val="000C01C9"/>
    <w:rsid w:val="000C0383"/>
    <w:rsid w:val="000C0444"/>
    <w:rsid w:val="000C048D"/>
    <w:rsid w:val="000C04D9"/>
    <w:rsid w:val="000C0641"/>
    <w:rsid w:val="000C0775"/>
    <w:rsid w:val="000C08AF"/>
    <w:rsid w:val="000C0996"/>
    <w:rsid w:val="000C0A29"/>
    <w:rsid w:val="000C0DEB"/>
    <w:rsid w:val="000C10AD"/>
    <w:rsid w:val="000C10D4"/>
    <w:rsid w:val="000C168C"/>
    <w:rsid w:val="000C16A4"/>
    <w:rsid w:val="000C16E6"/>
    <w:rsid w:val="000C1753"/>
    <w:rsid w:val="000C1777"/>
    <w:rsid w:val="000C1800"/>
    <w:rsid w:val="000C1958"/>
    <w:rsid w:val="000C1A21"/>
    <w:rsid w:val="000C1AC1"/>
    <w:rsid w:val="000C1BB8"/>
    <w:rsid w:val="000C1C27"/>
    <w:rsid w:val="000C1F2F"/>
    <w:rsid w:val="000C208B"/>
    <w:rsid w:val="000C20A8"/>
    <w:rsid w:val="000C20D4"/>
    <w:rsid w:val="000C20EB"/>
    <w:rsid w:val="000C24E0"/>
    <w:rsid w:val="000C25BE"/>
    <w:rsid w:val="000C26F7"/>
    <w:rsid w:val="000C2C22"/>
    <w:rsid w:val="000C2C3E"/>
    <w:rsid w:val="000C2C57"/>
    <w:rsid w:val="000C3005"/>
    <w:rsid w:val="000C3044"/>
    <w:rsid w:val="000C30D4"/>
    <w:rsid w:val="000C30FE"/>
    <w:rsid w:val="000C3111"/>
    <w:rsid w:val="000C3276"/>
    <w:rsid w:val="000C3378"/>
    <w:rsid w:val="000C33F4"/>
    <w:rsid w:val="000C356D"/>
    <w:rsid w:val="000C3587"/>
    <w:rsid w:val="000C3CC7"/>
    <w:rsid w:val="000C40BE"/>
    <w:rsid w:val="000C415C"/>
    <w:rsid w:val="000C41B2"/>
    <w:rsid w:val="000C425D"/>
    <w:rsid w:val="000C426E"/>
    <w:rsid w:val="000C43D4"/>
    <w:rsid w:val="000C4556"/>
    <w:rsid w:val="000C4A87"/>
    <w:rsid w:val="000C4AB4"/>
    <w:rsid w:val="000C4AE3"/>
    <w:rsid w:val="000C4BF7"/>
    <w:rsid w:val="000C4E2D"/>
    <w:rsid w:val="000C4F0B"/>
    <w:rsid w:val="000C5179"/>
    <w:rsid w:val="000C533B"/>
    <w:rsid w:val="000C53F5"/>
    <w:rsid w:val="000C56AF"/>
    <w:rsid w:val="000C577D"/>
    <w:rsid w:val="000C5A99"/>
    <w:rsid w:val="000C5AFB"/>
    <w:rsid w:val="000C5B03"/>
    <w:rsid w:val="000C5E44"/>
    <w:rsid w:val="000C5EAC"/>
    <w:rsid w:val="000C602C"/>
    <w:rsid w:val="000C6269"/>
    <w:rsid w:val="000C6376"/>
    <w:rsid w:val="000C63F9"/>
    <w:rsid w:val="000C6485"/>
    <w:rsid w:val="000C67FE"/>
    <w:rsid w:val="000C6813"/>
    <w:rsid w:val="000C690C"/>
    <w:rsid w:val="000C69A4"/>
    <w:rsid w:val="000C6DA9"/>
    <w:rsid w:val="000C6DC7"/>
    <w:rsid w:val="000C6DD6"/>
    <w:rsid w:val="000C6DE9"/>
    <w:rsid w:val="000C6E43"/>
    <w:rsid w:val="000C6F88"/>
    <w:rsid w:val="000C6F93"/>
    <w:rsid w:val="000C72A3"/>
    <w:rsid w:val="000C7492"/>
    <w:rsid w:val="000C74E8"/>
    <w:rsid w:val="000C75CB"/>
    <w:rsid w:val="000C76BB"/>
    <w:rsid w:val="000C78F6"/>
    <w:rsid w:val="000C7998"/>
    <w:rsid w:val="000C7E56"/>
    <w:rsid w:val="000C7F11"/>
    <w:rsid w:val="000D000D"/>
    <w:rsid w:val="000D017D"/>
    <w:rsid w:val="000D0479"/>
    <w:rsid w:val="000D04B3"/>
    <w:rsid w:val="000D0A1B"/>
    <w:rsid w:val="000D0B6C"/>
    <w:rsid w:val="000D0DCE"/>
    <w:rsid w:val="000D0E27"/>
    <w:rsid w:val="000D10A3"/>
    <w:rsid w:val="000D1355"/>
    <w:rsid w:val="000D14BD"/>
    <w:rsid w:val="000D1598"/>
    <w:rsid w:val="000D15DE"/>
    <w:rsid w:val="000D1690"/>
    <w:rsid w:val="000D1D00"/>
    <w:rsid w:val="000D1D23"/>
    <w:rsid w:val="000D1E43"/>
    <w:rsid w:val="000D1FEB"/>
    <w:rsid w:val="000D2320"/>
    <w:rsid w:val="000D2700"/>
    <w:rsid w:val="000D2758"/>
    <w:rsid w:val="000D292C"/>
    <w:rsid w:val="000D29D3"/>
    <w:rsid w:val="000D2C11"/>
    <w:rsid w:val="000D2E89"/>
    <w:rsid w:val="000D2F57"/>
    <w:rsid w:val="000D2FE9"/>
    <w:rsid w:val="000D30B8"/>
    <w:rsid w:val="000D312D"/>
    <w:rsid w:val="000D3191"/>
    <w:rsid w:val="000D332D"/>
    <w:rsid w:val="000D33B1"/>
    <w:rsid w:val="000D34D6"/>
    <w:rsid w:val="000D379E"/>
    <w:rsid w:val="000D387E"/>
    <w:rsid w:val="000D38FF"/>
    <w:rsid w:val="000D3BA1"/>
    <w:rsid w:val="000D3CC1"/>
    <w:rsid w:val="000D3D4E"/>
    <w:rsid w:val="000D403F"/>
    <w:rsid w:val="000D41D6"/>
    <w:rsid w:val="000D457E"/>
    <w:rsid w:val="000D4588"/>
    <w:rsid w:val="000D47F7"/>
    <w:rsid w:val="000D4846"/>
    <w:rsid w:val="000D48AC"/>
    <w:rsid w:val="000D48D9"/>
    <w:rsid w:val="000D4AB1"/>
    <w:rsid w:val="000D4D15"/>
    <w:rsid w:val="000D4D6A"/>
    <w:rsid w:val="000D4E2A"/>
    <w:rsid w:val="000D4E5B"/>
    <w:rsid w:val="000D4EAB"/>
    <w:rsid w:val="000D516F"/>
    <w:rsid w:val="000D53C3"/>
    <w:rsid w:val="000D5629"/>
    <w:rsid w:val="000D56C8"/>
    <w:rsid w:val="000D5861"/>
    <w:rsid w:val="000D5996"/>
    <w:rsid w:val="000D5A85"/>
    <w:rsid w:val="000D5ABB"/>
    <w:rsid w:val="000D5DD6"/>
    <w:rsid w:val="000D5EC7"/>
    <w:rsid w:val="000D5FD3"/>
    <w:rsid w:val="000D5FE6"/>
    <w:rsid w:val="000D6273"/>
    <w:rsid w:val="000D62DD"/>
    <w:rsid w:val="000D62F5"/>
    <w:rsid w:val="000D6318"/>
    <w:rsid w:val="000D6350"/>
    <w:rsid w:val="000D63FF"/>
    <w:rsid w:val="000D64FD"/>
    <w:rsid w:val="000D654B"/>
    <w:rsid w:val="000D65C4"/>
    <w:rsid w:val="000D6655"/>
    <w:rsid w:val="000D68CB"/>
    <w:rsid w:val="000D6BFE"/>
    <w:rsid w:val="000D6C01"/>
    <w:rsid w:val="000D6D36"/>
    <w:rsid w:val="000D6EC0"/>
    <w:rsid w:val="000D6F53"/>
    <w:rsid w:val="000D70F1"/>
    <w:rsid w:val="000D7260"/>
    <w:rsid w:val="000D7480"/>
    <w:rsid w:val="000D74B9"/>
    <w:rsid w:val="000D75C9"/>
    <w:rsid w:val="000D7717"/>
    <w:rsid w:val="000D7932"/>
    <w:rsid w:val="000D79BB"/>
    <w:rsid w:val="000D7A58"/>
    <w:rsid w:val="000D7DB1"/>
    <w:rsid w:val="000D7FF2"/>
    <w:rsid w:val="000E0168"/>
    <w:rsid w:val="000E041B"/>
    <w:rsid w:val="000E0AFE"/>
    <w:rsid w:val="000E0C7B"/>
    <w:rsid w:val="000E0F82"/>
    <w:rsid w:val="000E10B8"/>
    <w:rsid w:val="000E1168"/>
    <w:rsid w:val="000E1239"/>
    <w:rsid w:val="000E1408"/>
    <w:rsid w:val="000E142D"/>
    <w:rsid w:val="000E14BC"/>
    <w:rsid w:val="000E14C6"/>
    <w:rsid w:val="000E15CE"/>
    <w:rsid w:val="000E1B0E"/>
    <w:rsid w:val="000E22A3"/>
    <w:rsid w:val="000E2628"/>
    <w:rsid w:val="000E262D"/>
    <w:rsid w:val="000E2692"/>
    <w:rsid w:val="000E2D13"/>
    <w:rsid w:val="000E2DBE"/>
    <w:rsid w:val="000E3246"/>
    <w:rsid w:val="000E32BF"/>
    <w:rsid w:val="000E350F"/>
    <w:rsid w:val="000E354F"/>
    <w:rsid w:val="000E38EF"/>
    <w:rsid w:val="000E3BF0"/>
    <w:rsid w:val="000E3D6E"/>
    <w:rsid w:val="000E3D70"/>
    <w:rsid w:val="000E4107"/>
    <w:rsid w:val="000E440F"/>
    <w:rsid w:val="000E457C"/>
    <w:rsid w:val="000E45B5"/>
    <w:rsid w:val="000E461F"/>
    <w:rsid w:val="000E4676"/>
    <w:rsid w:val="000E47C4"/>
    <w:rsid w:val="000E47F7"/>
    <w:rsid w:val="000E48A7"/>
    <w:rsid w:val="000E497D"/>
    <w:rsid w:val="000E49D3"/>
    <w:rsid w:val="000E4BC9"/>
    <w:rsid w:val="000E4FC1"/>
    <w:rsid w:val="000E5217"/>
    <w:rsid w:val="000E532C"/>
    <w:rsid w:val="000E5508"/>
    <w:rsid w:val="000E584D"/>
    <w:rsid w:val="000E5853"/>
    <w:rsid w:val="000E59F2"/>
    <w:rsid w:val="000E5A79"/>
    <w:rsid w:val="000E5AAB"/>
    <w:rsid w:val="000E5DC8"/>
    <w:rsid w:val="000E5E13"/>
    <w:rsid w:val="000E5F12"/>
    <w:rsid w:val="000E5F63"/>
    <w:rsid w:val="000E5F75"/>
    <w:rsid w:val="000E5FCB"/>
    <w:rsid w:val="000E6137"/>
    <w:rsid w:val="000E63E1"/>
    <w:rsid w:val="000E658D"/>
    <w:rsid w:val="000E65BD"/>
    <w:rsid w:val="000E665D"/>
    <w:rsid w:val="000E6854"/>
    <w:rsid w:val="000E6874"/>
    <w:rsid w:val="000E68FE"/>
    <w:rsid w:val="000E69D2"/>
    <w:rsid w:val="000E6A9D"/>
    <w:rsid w:val="000E6C5B"/>
    <w:rsid w:val="000E6C85"/>
    <w:rsid w:val="000E6D49"/>
    <w:rsid w:val="000E6DF7"/>
    <w:rsid w:val="000E6E18"/>
    <w:rsid w:val="000E70C7"/>
    <w:rsid w:val="000E7172"/>
    <w:rsid w:val="000E7254"/>
    <w:rsid w:val="000E7406"/>
    <w:rsid w:val="000E757A"/>
    <w:rsid w:val="000E75E6"/>
    <w:rsid w:val="000E7762"/>
    <w:rsid w:val="000E7903"/>
    <w:rsid w:val="000E7C2B"/>
    <w:rsid w:val="000E7F42"/>
    <w:rsid w:val="000E7F5F"/>
    <w:rsid w:val="000ED09B"/>
    <w:rsid w:val="000F0295"/>
    <w:rsid w:val="000F030A"/>
    <w:rsid w:val="000F0630"/>
    <w:rsid w:val="000F0713"/>
    <w:rsid w:val="000F0A0F"/>
    <w:rsid w:val="000F0C2B"/>
    <w:rsid w:val="000F0CAE"/>
    <w:rsid w:val="000F0EB7"/>
    <w:rsid w:val="000F114B"/>
    <w:rsid w:val="000F16A5"/>
    <w:rsid w:val="000F178C"/>
    <w:rsid w:val="000F1867"/>
    <w:rsid w:val="000F1BFD"/>
    <w:rsid w:val="000F1E97"/>
    <w:rsid w:val="000F1F2C"/>
    <w:rsid w:val="000F21EF"/>
    <w:rsid w:val="000F221D"/>
    <w:rsid w:val="000F22A6"/>
    <w:rsid w:val="000F2335"/>
    <w:rsid w:val="000F26A3"/>
    <w:rsid w:val="000F27A8"/>
    <w:rsid w:val="000F28AB"/>
    <w:rsid w:val="000F29E0"/>
    <w:rsid w:val="000F2CF9"/>
    <w:rsid w:val="000F3028"/>
    <w:rsid w:val="000F3371"/>
    <w:rsid w:val="000F33BE"/>
    <w:rsid w:val="000F3499"/>
    <w:rsid w:val="000F34B0"/>
    <w:rsid w:val="000F34B5"/>
    <w:rsid w:val="000F3540"/>
    <w:rsid w:val="000F3715"/>
    <w:rsid w:val="000F377C"/>
    <w:rsid w:val="000F3A66"/>
    <w:rsid w:val="000F3BC8"/>
    <w:rsid w:val="000F3C91"/>
    <w:rsid w:val="000F411F"/>
    <w:rsid w:val="000F4337"/>
    <w:rsid w:val="000F4345"/>
    <w:rsid w:val="000F4473"/>
    <w:rsid w:val="000F463F"/>
    <w:rsid w:val="000F479C"/>
    <w:rsid w:val="000F4802"/>
    <w:rsid w:val="000F4875"/>
    <w:rsid w:val="000F509D"/>
    <w:rsid w:val="000F518A"/>
    <w:rsid w:val="000F53F2"/>
    <w:rsid w:val="000F57A2"/>
    <w:rsid w:val="000F57FA"/>
    <w:rsid w:val="000F5ABB"/>
    <w:rsid w:val="000F5C10"/>
    <w:rsid w:val="000F5DA6"/>
    <w:rsid w:val="000F5F62"/>
    <w:rsid w:val="000F60DD"/>
    <w:rsid w:val="000F6327"/>
    <w:rsid w:val="000F650F"/>
    <w:rsid w:val="000F65EB"/>
    <w:rsid w:val="000F6661"/>
    <w:rsid w:val="000F6714"/>
    <w:rsid w:val="000F67AC"/>
    <w:rsid w:val="000F67F5"/>
    <w:rsid w:val="000F680E"/>
    <w:rsid w:val="000F6848"/>
    <w:rsid w:val="000F684F"/>
    <w:rsid w:val="000F686D"/>
    <w:rsid w:val="000F6870"/>
    <w:rsid w:val="000F6957"/>
    <w:rsid w:val="000F6962"/>
    <w:rsid w:val="000F70F3"/>
    <w:rsid w:val="000F718F"/>
    <w:rsid w:val="000F726F"/>
    <w:rsid w:val="000F72E7"/>
    <w:rsid w:val="000F73A9"/>
    <w:rsid w:val="000F73B5"/>
    <w:rsid w:val="000F7717"/>
    <w:rsid w:val="000F7E41"/>
    <w:rsid w:val="000F7ED2"/>
    <w:rsid w:val="000F7F7E"/>
    <w:rsid w:val="0010026D"/>
    <w:rsid w:val="00100939"/>
    <w:rsid w:val="00100992"/>
    <w:rsid w:val="00100C56"/>
    <w:rsid w:val="00100E07"/>
    <w:rsid w:val="00100F6C"/>
    <w:rsid w:val="00100F88"/>
    <w:rsid w:val="00100FBA"/>
    <w:rsid w:val="001011D1"/>
    <w:rsid w:val="001012D6"/>
    <w:rsid w:val="00101389"/>
    <w:rsid w:val="0010199F"/>
    <w:rsid w:val="00101F4C"/>
    <w:rsid w:val="001020A9"/>
    <w:rsid w:val="001020C3"/>
    <w:rsid w:val="0010227B"/>
    <w:rsid w:val="001023FF"/>
    <w:rsid w:val="00102615"/>
    <w:rsid w:val="0010261A"/>
    <w:rsid w:val="00102656"/>
    <w:rsid w:val="001026B0"/>
    <w:rsid w:val="001028EE"/>
    <w:rsid w:val="00102927"/>
    <w:rsid w:val="00102A03"/>
    <w:rsid w:val="00102AE1"/>
    <w:rsid w:val="00102D73"/>
    <w:rsid w:val="00102F88"/>
    <w:rsid w:val="001031C7"/>
    <w:rsid w:val="001031D8"/>
    <w:rsid w:val="001033BF"/>
    <w:rsid w:val="00103459"/>
    <w:rsid w:val="00103566"/>
    <w:rsid w:val="00103622"/>
    <w:rsid w:val="0010365A"/>
    <w:rsid w:val="00103827"/>
    <w:rsid w:val="00103845"/>
    <w:rsid w:val="00103932"/>
    <w:rsid w:val="00103A6F"/>
    <w:rsid w:val="00103B70"/>
    <w:rsid w:val="00103B89"/>
    <w:rsid w:val="00103D4D"/>
    <w:rsid w:val="00104033"/>
    <w:rsid w:val="0010404B"/>
    <w:rsid w:val="00104064"/>
    <w:rsid w:val="0010440E"/>
    <w:rsid w:val="0010457C"/>
    <w:rsid w:val="00104648"/>
    <w:rsid w:val="0010479F"/>
    <w:rsid w:val="00104DA5"/>
    <w:rsid w:val="00105151"/>
    <w:rsid w:val="001051EE"/>
    <w:rsid w:val="0010523E"/>
    <w:rsid w:val="001052B4"/>
    <w:rsid w:val="00105456"/>
    <w:rsid w:val="001055B5"/>
    <w:rsid w:val="001055C7"/>
    <w:rsid w:val="00105695"/>
    <w:rsid w:val="001056E9"/>
    <w:rsid w:val="001057B9"/>
    <w:rsid w:val="001058FB"/>
    <w:rsid w:val="00105A2A"/>
    <w:rsid w:val="00105B27"/>
    <w:rsid w:val="00105D20"/>
    <w:rsid w:val="00105FAE"/>
    <w:rsid w:val="001060DA"/>
    <w:rsid w:val="001060FD"/>
    <w:rsid w:val="0010637C"/>
    <w:rsid w:val="00106469"/>
    <w:rsid w:val="00106575"/>
    <w:rsid w:val="001065E8"/>
    <w:rsid w:val="0010671A"/>
    <w:rsid w:val="00106724"/>
    <w:rsid w:val="00106A4E"/>
    <w:rsid w:val="00106C9C"/>
    <w:rsid w:val="00106CF4"/>
    <w:rsid w:val="00106F5D"/>
    <w:rsid w:val="0010707F"/>
    <w:rsid w:val="001070FD"/>
    <w:rsid w:val="001071DD"/>
    <w:rsid w:val="001071FE"/>
    <w:rsid w:val="00107264"/>
    <w:rsid w:val="001073BE"/>
    <w:rsid w:val="00107447"/>
    <w:rsid w:val="00107558"/>
    <w:rsid w:val="00107622"/>
    <w:rsid w:val="001076F4"/>
    <w:rsid w:val="00107708"/>
    <w:rsid w:val="00107855"/>
    <w:rsid w:val="00107A3F"/>
    <w:rsid w:val="00107C0A"/>
    <w:rsid w:val="00107C4B"/>
    <w:rsid w:val="00107E95"/>
    <w:rsid w:val="00107EB3"/>
    <w:rsid w:val="00107F9F"/>
    <w:rsid w:val="0011000F"/>
    <w:rsid w:val="001100E4"/>
    <w:rsid w:val="001101B4"/>
    <w:rsid w:val="001101BF"/>
    <w:rsid w:val="0011051F"/>
    <w:rsid w:val="00110631"/>
    <w:rsid w:val="0011088B"/>
    <w:rsid w:val="00110BFF"/>
    <w:rsid w:val="00110CC3"/>
    <w:rsid w:val="00110E9F"/>
    <w:rsid w:val="00111065"/>
    <w:rsid w:val="00111210"/>
    <w:rsid w:val="00111282"/>
    <w:rsid w:val="00111529"/>
    <w:rsid w:val="00111531"/>
    <w:rsid w:val="00111590"/>
    <w:rsid w:val="00111702"/>
    <w:rsid w:val="00111EE1"/>
    <w:rsid w:val="00112350"/>
    <w:rsid w:val="00112399"/>
    <w:rsid w:val="00112439"/>
    <w:rsid w:val="001129FE"/>
    <w:rsid w:val="00112B6B"/>
    <w:rsid w:val="00112E32"/>
    <w:rsid w:val="00112FF0"/>
    <w:rsid w:val="001132DC"/>
    <w:rsid w:val="001135FA"/>
    <w:rsid w:val="00113682"/>
    <w:rsid w:val="00113995"/>
    <w:rsid w:val="001139E9"/>
    <w:rsid w:val="00113A4B"/>
    <w:rsid w:val="00113D81"/>
    <w:rsid w:val="00113DA4"/>
    <w:rsid w:val="00113DD1"/>
    <w:rsid w:val="00113E64"/>
    <w:rsid w:val="0011402F"/>
    <w:rsid w:val="0011405B"/>
    <w:rsid w:val="001142C5"/>
    <w:rsid w:val="0011441A"/>
    <w:rsid w:val="00114567"/>
    <w:rsid w:val="00114570"/>
    <w:rsid w:val="0011460F"/>
    <w:rsid w:val="001146B8"/>
    <w:rsid w:val="00114719"/>
    <w:rsid w:val="00114869"/>
    <w:rsid w:val="00114A1A"/>
    <w:rsid w:val="00114B02"/>
    <w:rsid w:val="00114B89"/>
    <w:rsid w:val="00114C4D"/>
    <w:rsid w:val="001150C2"/>
    <w:rsid w:val="00115184"/>
    <w:rsid w:val="001151B0"/>
    <w:rsid w:val="001155F7"/>
    <w:rsid w:val="001156F5"/>
    <w:rsid w:val="0011593B"/>
    <w:rsid w:val="00115942"/>
    <w:rsid w:val="00115B63"/>
    <w:rsid w:val="00115D9C"/>
    <w:rsid w:val="00115E79"/>
    <w:rsid w:val="00115F1E"/>
    <w:rsid w:val="00116153"/>
    <w:rsid w:val="0011620C"/>
    <w:rsid w:val="001162FA"/>
    <w:rsid w:val="0011650E"/>
    <w:rsid w:val="00116581"/>
    <w:rsid w:val="001165CE"/>
    <w:rsid w:val="001165ED"/>
    <w:rsid w:val="0011662C"/>
    <w:rsid w:val="0011674C"/>
    <w:rsid w:val="0011675D"/>
    <w:rsid w:val="00116774"/>
    <w:rsid w:val="00116846"/>
    <w:rsid w:val="00116883"/>
    <w:rsid w:val="00116A14"/>
    <w:rsid w:val="00116C66"/>
    <w:rsid w:val="0011717A"/>
    <w:rsid w:val="00117270"/>
    <w:rsid w:val="0011737E"/>
    <w:rsid w:val="00117456"/>
    <w:rsid w:val="001175F0"/>
    <w:rsid w:val="00117845"/>
    <w:rsid w:val="00117851"/>
    <w:rsid w:val="00117A92"/>
    <w:rsid w:val="00117A9C"/>
    <w:rsid w:val="00117C2B"/>
    <w:rsid w:val="00117D5F"/>
    <w:rsid w:val="00117D89"/>
    <w:rsid w:val="00117DB6"/>
    <w:rsid w:val="00117E7A"/>
    <w:rsid w:val="00117E96"/>
    <w:rsid w:val="0012012C"/>
    <w:rsid w:val="00120375"/>
    <w:rsid w:val="001203E3"/>
    <w:rsid w:val="00120472"/>
    <w:rsid w:val="00120652"/>
    <w:rsid w:val="0012066F"/>
    <w:rsid w:val="001206B7"/>
    <w:rsid w:val="00120B6A"/>
    <w:rsid w:val="00120E71"/>
    <w:rsid w:val="00120E7B"/>
    <w:rsid w:val="00120F9D"/>
    <w:rsid w:val="00121114"/>
    <w:rsid w:val="001211C7"/>
    <w:rsid w:val="0012120A"/>
    <w:rsid w:val="001212E5"/>
    <w:rsid w:val="0012181E"/>
    <w:rsid w:val="001219BA"/>
    <w:rsid w:val="00121A91"/>
    <w:rsid w:val="00121B28"/>
    <w:rsid w:val="00121BD8"/>
    <w:rsid w:val="00121C13"/>
    <w:rsid w:val="00121DF6"/>
    <w:rsid w:val="00121E63"/>
    <w:rsid w:val="00121E9A"/>
    <w:rsid w:val="00121F65"/>
    <w:rsid w:val="00121F79"/>
    <w:rsid w:val="00122053"/>
    <w:rsid w:val="00122135"/>
    <w:rsid w:val="0012213B"/>
    <w:rsid w:val="0012229C"/>
    <w:rsid w:val="00122305"/>
    <w:rsid w:val="0012240D"/>
    <w:rsid w:val="00122773"/>
    <w:rsid w:val="00122B81"/>
    <w:rsid w:val="00122BC3"/>
    <w:rsid w:val="00123350"/>
    <w:rsid w:val="00123478"/>
    <w:rsid w:val="0012349B"/>
    <w:rsid w:val="0012381F"/>
    <w:rsid w:val="00123AFA"/>
    <w:rsid w:val="00123B1A"/>
    <w:rsid w:val="00123C4E"/>
    <w:rsid w:val="00123D28"/>
    <w:rsid w:val="00123D37"/>
    <w:rsid w:val="00123EAC"/>
    <w:rsid w:val="00124085"/>
    <w:rsid w:val="0012447F"/>
    <w:rsid w:val="001245B0"/>
    <w:rsid w:val="001245F5"/>
    <w:rsid w:val="0012467F"/>
    <w:rsid w:val="001246EF"/>
    <w:rsid w:val="00124782"/>
    <w:rsid w:val="001247CE"/>
    <w:rsid w:val="00124989"/>
    <w:rsid w:val="001249CF"/>
    <w:rsid w:val="00124A13"/>
    <w:rsid w:val="00124A5C"/>
    <w:rsid w:val="00124AEC"/>
    <w:rsid w:val="00124AF2"/>
    <w:rsid w:val="00124AF9"/>
    <w:rsid w:val="00124B3F"/>
    <w:rsid w:val="00124E09"/>
    <w:rsid w:val="001250FB"/>
    <w:rsid w:val="0012557B"/>
    <w:rsid w:val="001255FA"/>
    <w:rsid w:val="0012569E"/>
    <w:rsid w:val="0012569F"/>
    <w:rsid w:val="001256E8"/>
    <w:rsid w:val="0012574A"/>
    <w:rsid w:val="001258F5"/>
    <w:rsid w:val="00125AD9"/>
    <w:rsid w:val="00125C8C"/>
    <w:rsid w:val="00125DDA"/>
    <w:rsid w:val="00125EC8"/>
    <w:rsid w:val="00125F18"/>
    <w:rsid w:val="00126030"/>
    <w:rsid w:val="0012620E"/>
    <w:rsid w:val="0012639A"/>
    <w:rsid w:val="001265D9"/>
    <w:rsid w:val="001265F0"/>
    <w:rsid w:val="00126661"/>
    <w:rsid w:val="0012666B"/>
    <w:rsid w:val="001268D0"/>
    <w:rsid w:val="00126A47"/>
    <w:rsid w:val="00126CA2"/>
    <w:rsid w:val="00126E63"/>
    <w:rsid w:val="00126EBB"/>
    <w:rsid w:val="00126F38"/>
    <w:rsid w:val="00126FF0"/>
    <w:rsid w:val="0012740A"/>
    <w:rsid w:val="0012758D"/>
    <w:rsid w:val="0012778E"/>
    <w:rsid w:val="001278AE"/>
    <w:rsid w:val="00127B17"/>
    <w:rsid w:val="00127B22"/>
    <w:rsid w:val="00127B2C"/>
    <w:rsid w:val="00127E2F"/>
    <w:rsid w:val="00130325"/>
    <w:rsid w:val="001303DD"/>
    <w:rsid w:val="001306DA"/>
    <w:rsid w:val="00130721"/>
    <w:rsid w:val="0013077F"/>
    <w:rsid w:val="00130827"/>
    <w:rsid w:val="00130A90"/>
    <w:rsid w:val="00130A9E"/>
    <w:rsid w:val="00130BAB"/>
    <w:rsid w:val="00130BBA"/>
    <w:rsid w:val="00130E9B"/>
    <w:rsid w:val="00130F40"/>
    <w:rsid w:val="001310A3"/>
    <w:rsid w:val="00131173"/>
    <w:rsid w:val="00131283"/>
    <w:rsid w:val="00131394"/>
    <w:rsid w:val="001313CA"/>
    <w:rsid w:val="001316DC"/>
    <w:rsid w:val="001317A7"/>
    <w:rsid w:val="00131821"/>
    <w:rsid w:val="00131A2D"/>
    <w:rsid w:val="00131B50"/>
    <w:rsid w:val="00131B52"/>
    <w:rsid w:val="00131B56"/>
    <w:rsid w:val="00131B66"/>
    <w:rsid w:val="00131BF4"/>
    <w:rsid w:val="00131C97"/>
    <w:rsid w:val="00131E17"/>
    <w:rsid w:val="00131E83"/>
    <w:rsid w:val="00131F59"/>
    <w:rsid w:val="001320BC"/>
    <w:rsid w:val="0013210F"/>
    <w:rsid w:val="001322D6"/>
    <w:rsid w:val="001322E9"/>
    <w:rsid w:val="001322EC"/>
    <w:rsid w:val="001324E3"/>
    <w:rsid w:val="00132582"/>
    <w:rsid w:val="0013261B"/>
    <w:rsid w:val="00132683"/>
    <w:rsid w:val="001327AD"/>
    <w:rsid w:val="00132830"/>
    <w:rsid w:val="00132847"/>
    <w:rsid w:val="00132976"/>
    <w:rsid w:val="00132BF9"/>
    <w:rsid w:val="00132D34"/>
    <w:rsid w:val="0013312A"/>
    <w:rsid w:val="001331C9"/>
    <w:rsid w:val="0013345B"/>
    <w:rsid w:val="00133468"/>
    <w:rsid w:val="001335E0"/>
    <w:rsid w:val="00133A25"/>
    <w:rsid w:val="00133BB2"/>
    <w:rsid w:val="00133C62"/>
    <w:rsid w:val="0013404B"/>
    <w:rsid w:val="00134163"/>
    <w:rsid w:val="00134228"/>
    <w:rsid w:val="0013422C"/>
    <w:rsid w:val="001342D7"/>
    <w:rsid w:val="00134397"/>
    <w:rsid w:val="001344B5"/>
    <w:rsid w:val="0013460C"/>
    <w:rsid w:val="00134619"/>
    <w:rsid w:val="00134759"/>
    <w:rsid w:val="001347CF"/>
    <w:rsid w:val="00134964"/>
    <w:rsid w:val="00134C1E"/>
    <w:rsid w:val="00134DF7"/>
    <w:rsid w:val="00134FBD"/>
    <w:rsid w:val="00135034"/>
    <w:rsid w:val="0013508E"/>
    <w:rsid w:val="00135373"/>
    <w:rsid w:val="0013555D"/>
    <w:rsid w:val="001355D3"/>
    <w:rsid w:val="00135624"/>
    <w:rsid w:val="00135696"/>
    <w:rsid w:val="0013582F"/>
    <w:rsid w:val="00135B1C"/>
    <w:rsid w:val="00135BFD"/>
    <w:rsid w:val="00135EC7"/>
    <w:rsid w:val="00135F6A"/>
    <w:rsid w:val="0013641C"/>
    <w:rsid w:val="00136532"/>
    <w:rsid w:val="00136669"/>
    <w:rsid w:val="001367A1"/>
    <w:rsid w:val="0013684E"/>
    <w:rsid w:val="001368D6"/>
    <w:rsid w:val="0013696F"/>
    <w:rsid w:val="00136A89"/>
    <w:rsid w:val="00136ABC"/>
    <w:rsid w:val="00136D2A"/>
    <w:rsid w:val="00136E3C"/>
    <w:rsid w:val="00136E91"/>
    <w:rsid w:val="001371A5"/>
    <w:rsid w:val="0013721D"/>
    <w:rsid w:val="00137265"/>
    <w:rsid w:val="001372E3"/>
    <w:rsid w:val="0013744D"/>
    <w:rsid w:val="0013745A"/>
    <w:rsid w:val="001375A8"/>
    <w:rsid w:val="001376F5"/>
    <w:rsid w:val="0013787C"/>
    <w:rsid w:val="001378B8"/>
    <w:rsid w:val="0013794A"/>
    <w:rsid w:val="00137956"/>
    <w:rsid w:val="001379C7"/>
    <w:rsid w:val="00137A55"/>
    <w:rsid w:val="00137A63"/>
    <w:rsid w:val="00137AEB"/>
    <w:rsid w:val="00137B24"/>
    <w:rsid w:val="00137BD6"/>
    <w:rsid w:val="00137FF5"/>
    <w:rsid w:val="001402FD"/>
    <w:rsid w:val="00140356"/>
    <w:rsid w:val="0014043D"/>
    <w:rsid w:val="0014056F"/>
    <w:rsid w:val="001408EE"/>
    <w:rsid w:val="00140915"/>
    <w:rsid w:val="00140A6E"/>
    <w:rsid w:val="00140EA4"/>
    <w:rsid w:val="00141217"/>
    <w:rsid w:val="00141257"/>
    <w:rsid w:val="001413C3"/>
    <w:rsid w:val="001415EF"/>
    <w:rsid w:val="00141756"/>
    <w:rsid w:val="001418F1"/>
    <w:rsid w:val="00141A0A"/>
    <w:rsid w:val="00141AEF"/>
    <w:rsid w:val="00141C29"/>
    <w:rsid w:val="00141CE9"/>
    <w:rsid w:val="00141D8A"/>
    <w:rsid w:val="00141E99"/>
    <w:rsid w:val="00142072"/>
    <w:rsid w:val="0014208D"/>
    <w:rsid w:val="001420A9"/>
    <w:rsid w:val="001421FF"/>
    <w:rsid w:val="001423CC"/>
    <w:rsid w:val="00142432"/>
    <w:rsid w:val="001424DB"/>
    <w:rsid w:val="00142584"/>
    <w:rsid w:val="001429D9"/>
    <w:rsid w:val="00142C67"/>
    <w:rsid w:val="00142E2D"/>
    <w:rsid w:val="00142E8A"/>
    <w:rsid w:val="00143061"/>
    <w:rsid w:val="001430C2"/>
    <w:rsid w:val="00143390"/>
    <w:rsid w:val="001433B2"/>
    <w:rsid w:val="001435F0"/>
    <w:rsid w:val="00143634"/>
    <w:rsid w:val="00143647"/>
    <w:rsid w:val="0014384B"/>
    <w:rsid w:val="001438BA"/>
    <w:rsid w:val="00143AC7"/>
    <w:rsid w:val="00143E49"/>
    <w:rsid w:val="00143E96"/>
    <w:rsid w:val="00143F60"/>
    <w:rsid w:val="00144177"/>
    <w:rsid w:val="001444F8"/>
    <w:rsid w:val="00144630"/>
    <w:rsid w:val="00144674"/>
    <w:rsid w:val="0014482A"/>
    <w:rsid w:val="0014491D"/>
    <w:rsid w:val="0014499E"/>
    <w:rsid w:val="00144CCF"/>
    <w:rsid w:val="00144F33"/>
    <w:rsid w:val="0014538C"/>
    <w:rsid w:val="00145526"/>
    <w:rsid w:val="0014557F"/>
    <w:rsid w:val="001457F5"/>
    <w:rsid w:val="001458EF"/>
    <w:rsid w:val="00145939"/>
    <w:rsid w:val="001459D9"/>
    <w:rsid w:val="001459F7"/>
    <w:rsid w:val="00145A90"/>
    <w:rsid w:val="00145B8A"/>
    <w:rsid w:val="00145D40"/>
    <w:rsid w:val="00145D4A"/>
    <w:rsid w:val="00145E59"/>
    <w:rsid w:val="001460DC"/>
    <w:rsid w:val="00146601"/>
    <w:rsid w:val="0014679B"/>
    <w:rsid w:val="001467B8"/>
    <w:rsid w:val="001468F7"/>
    <w:rsid w:val="00146AC5"/>
    <w:rsid w:val="00146E99"/>
    <w:rsid w:val="00147268"/>
    <w:rsid w:val="00147366"/>
    <w:rsid w:val="00147387"/>
    <w:rsid w:val="001473BC"/>
    <w:rsid w:val="001476E6"/>
    <w:rsid w:val="00147741"/>
    <w:rsid w:val="0014774F"/>
    <w:rsid w:val="00147763"/>
    <w:rsid w:val="00147785"/>
    <w:rsid w:val="001477F1"/>
    <w:rsid w:val="00147A5C"/>
    <w:rsid w:val="00147A83"/>
    <w:rsid w:val="00147C72"/>
    <w:rsid w:val="00147D2F"/>
    <w:rsid w:val="00147EF3"/>
    <w:rsid w:val="0015058F"/>
    <w:rsid w:val="0015070D"/>
    <w:rsid w:val="00150923"/>
    <w:rsid w:val="00150E14"/>
    <w:rsid w:val="00150FE1"/>
    <w:rsid w:val="00151155"/>
    <w:rsid w:val="00151174"/>
    <w:rsid w:val="00151352"/>
    <w:rsid w:val="001514BE"/>
    <w:rsid w:val="00151569"/>
    <w:rsid w:val="001516E1"/>
    <w:rsid w:val="001516F2"/>
    <w:rsid w:val="00151799"/>
    <w:rsid w:val="001517A1"/>
    <w:rsid w:val="001519A2"/>
    <w:rsid w:val="00151B4B"/>
    <w:rsid w:val="00151CD8"/>
    <w:rsid w:val="00151D27"/>
    <w:rsid w:val="001520DF"/>
    <w:rsid w:val="0015213B"/>
    <w:rsid w:val="001522DC"/>
    <w:rsid w:val="00152313"/>
    <w:rsid w:val="00152582"/>
    <w:rsid w:val="001527C1"/>
    <w:rsid w:val="001527D5"/>
    <w:rsid w:val="00152814"/>
    <w:rsid w:val="00152844"/>
    <w:rsid w:val="0015286D"/>
    <w:rsid w:val="00152D82"/>
    <w:rsid w:val="00152DBF"/>
    <w:rsid w:val="00152DD2"/>
    <w:rsid w:val="00152EC1"/>
    <w:rsid w:val="00153175"/>
    <w:rsid w:val="00153198"/>
    <w:rsid w:val="001536FB"/>
    <w:rsid w:val="0015385C"/>
    <w:rsid w:val="00153A7F"/>
    <w:rsid w:val="00153AD5"/>
    <w:rsid w:val="00153B14"/>
    <w:rsid w:val="00154029"/>
    <w:rsid w:val="0015408B"/>
    <w:rsid w:val="0015411F"/>
    <w:rsid w:val="00154333"/>
    <w:rsid w:val="001543E1"/>
    <w:rsid w:val="00154476"/>
    <w:rsid w:val="001544D0"/>
    <w:rsid w:val="001544EE"/>
    <w:rsid w:val="0015452F"/>
    <w:rsid w:val="00154569"/>
    <w:rsid w:val="0015457B"/>
    <w:rsid w:val="00154725"/>
    <w:rsid w:val="00154787"/>
    <w:rsid w:val="0015492D"/>
    <w:rsid w:val="00154BBF"/>
    <w:rsid w:val="00154CA7"/>
    <w:rsid w:val="00154EB1"/>
    <w:rsid w:val="00154F83"/>
    <w:rsid w:val="00154F89"/>
    <w:rsid w:val="00154F98"/>
    <w:rsid w:val="00155025"/>
    <w:rsid w:val="00155071"/>
    <w:rsid w:val="00155395"/>
    <w:rsid w:val="0015568A"/>
    <w:rsid w:val="00155721"/>
    <w:rsid w:val="001559E2"/>
    <w:rsid w:val="00155B4A"/>
    <w:rsid w:val="00155C1F"/>
    <w:rsid w:val="00155C32"/>
    <w:rsid w:val="00155CC2"/>
    <w:rsid w:val="00155DB1"/>
    <w:rsid w:val="00155DC6"/>
    <w:rsid w:val="00155F9B"/>
    <w:rsid w:val="001560B7"/>
    <w:rsid w:val="00156414"/>
    <w:rsid w:val="00156421"/>
    <w:rsid w:val="001566BF"/>
    <w:rsid w:val="00156783"/>
    <w:rsid w:val="00156B9C"/>
    <w:rsid w:val="00156CA9"/>
    <w:rsid w:val="00156DBD"/>
    <w:rsid w:val="00156EA3"/>
    <w:rsid w:val="00156EE7"/>
    <w:rsid w:val="00156F82"/>
    <w:rsid w:val="00156F94"/>
    <w:rsid w:val="00156FEF"/>
    <w:rsid w:val="001570C9"/>
    <w:rsid w:val="00157734"/>
    <w:rsid w:val="00157820"/>
    <w:rsid w:val="001579C6"/>
    <w:rsid w:val="00157A12"/>
    <w:rsid w:val="00157B74"/>
    <w:rsid w:val="00160056"/>
    <w:rsid w:val="00160191"/>
    <w:rsid w:val="001601E3"/>
    <w:rsid w:val="00160635"/>
    <w:rsid w:val="0016068A"/>
    <w:rsid w:val="001606DE"/>
    <w:rsid w:val="0016079B"/>
    <w:rsid w:val="00160C33"/>
    <w:rsid w:val="00160CA6"/>
    <w:rsid w:val="00160FE0"/>
    <w:rsid w:val="001610B3"/>
    <w:rsid w:val="00161131"/>
    <w:rsid w:val="001611C7"/>
    <w:rsid w:val="00161238"/>
    <w:rsid w:val="001612CC"/>
    <w:rsid w:val="001612E6"/>
    <w:rsid w:val="001615DB"/>
    <w:rsid w:val="00161CAC"/>
    <w:rsid w:val="00161EAD"/>
    <w:rsid w:val="00162077"/>
    <w:rsid w:val="0016208D"/>
    <w:rsid w:val="0016216C"/>
    <w:rsid w:val="001623F8"/>
    <w:rsid w:val="00162607"/>
    <w:rsid w:val="00162687"/>
    <w:rsid w:val="0016274A"/>
    <w:rsid w:val="001627B7"/>
    <w:rsid w:val="001629AA"/>
    <w:rsid w:val="00162A84"/>
    <w:rsid w:val="00162B53"/>
    <w:rsid w:val="00162DCB"/>
    <w:rsid w:val="00162E34"/>
    <w:rsid w:val="00162F7E"/>
    <w:rsid w:val="0016306E"/>
    <w:rsid w:val="00163078"/>
    <w:rsid w:val="0016321C"/>
    <w:rsid w:val="0016322C"/>
    <w:rsid w:val="001633B7"/>
    <w:rsid w:val="001633C1"/>
    <w:rsid w:val="0016357F"/>
    <w:rsid w:val="001635D9"/>
    <w:rsid w:val="001635DC"/>
    <w:rsid w:val="001635FB"/>
    <w:rsid w:val="00163612"/>
    <w:rsid w:val="001636CF"/>
    <w:rsid w:val="00163A31"/>
    <w:rsid w:val="00163A54"/>
    <w:rsid w:val="00163A60"/>
    <w:rsid w:val="00163AD1"/>
    <w:rsid w:val="00163D98"/>
    <w:rsid w:val="00163E40"/>
    <w:rsid w:val="001642E2"/>
    <w:rsid w:val="0016440C"/>
    <w:rsid w:val="00164482"/>
    <w:rsid w:val="0016453B"/>
    <w:rsid w:val="00164604"/>
    <w:rsid w:val="00164641"/>
    <w:rsid w:val="0016472C"/>
    <w:rsid w:val="0016473E"/>
    <w:rsid w:val="0016490C"/>
    <w:rsid w:val="0016495C"/>
    <w:rsid w:val="00164ADB"/>
    <w:rsid w:val="00164BD8"/>
    <w:rsid w:val="00164C1F"/>
    <w:rsid w:val="00164C4C"/>
    <w:rsid w:val="00164C4F"/>
    <w:rsid w:val="00164F9B"/>
    <w:rsid w:val="00165078"/>
    <w:rsid w:val="001650F6"/>
    <w:rsid w:val="0016517F"/>
    <w:rsid w:val="0016519D"/>
    <w:rsid w:val="00165468"/>
    <w:rsid w:val="00165585"/>
    <w:rsid w:val="00165A23"/>
    <w:rsid w:val="00165B4F"/>
    <w:rsid w:val="00165C40"/>
    <w:rsid w:val="00165DAC"/>
    <w:rsid w:val="00165EE6"/>
    <w:rsid w:val="00165FC9"/>
    <w:rsid w:val="0016628B"/>
    <w:rsid w:val="00166756"/>
    <w:rsid w:val="001669C7"/>
    <w:rsid w:val="00166AE2"/>
    <w:rsid w:val="00166B7C"/>
    <w:rsid w:val="00166CF0"/>
    <w:rsid w:val="00166CFB"/>
    <w:rsid w:val="00166E18"/>
    <w:rsid w:val="001673DD"/>
    <w:rsid w:val="001675AC"/>
    <w:rsid w:val="00167641"/>
    <w:rsid w:val="00167648"/>
    <w:rsid w:val="00167738"/>
    <w:rsid w:val="001677CA"/>
    <w:rsid w:val="00167868"/>
    <w:rsid w:val="0016788C"/>
    <w:rsid w:val="00167963"/>
    <w:rsid w:val="001679EA"/>
    <w:rsid w:val="00167A8B"/>
    <w:rsid w:val="00167AAB"/>
    <w:rsid w:val="00167B66"/>
    <w:rsid w:val="00167C17"/>
    <w:rsid w:val="00167C56"/>
    <w:rsid w:val="00167EC3"/>
    <w:rsid w:val="0017010D"/>
    <w:rsid w:val="00170133"/>
    <w:rsid w:val="0017034E"/>
    <w:rsid w:val="0017036E"/>
    <w:rsid w:val="00170404"/>
    <w:rsid w:val="00170625"/>
    <w:rsid w:val="00170630"/>
    <w:rsid w:val="00170797"/>
    <w:rsid w:val="0017079C"/>
    <w:rsid w:val="00170A1F"/>
    <w:rsid w:val="00170AD4"/>
    <w:rsid w:val="00170D56"/>
    <w:rsid w:val="00170E39"/>
    <w:rsid w:val="00170EF4"/>
    <w:rsid w:val="001713B1"/>
    <w:rsid w:val="0017168E"/>
    <w:rsid w:val="00171A38"/>
    <w:rsid w:val="00171C5F"/>
    <w:rsid w:val="00171D95"/>
    <w:rsid w:val="00171FBA"/>
    <w:rsid w:val="00172132"/>
    <w:rsid w:val="0017214C"/>
    <w:rsid w:val="001724D0"/>
    <w:rsid w:val="0017285E"/>
    <w:rsid w:val="0017290D"/>
    <w:rsid w:val="00172CAE"/>
    <w:rsid w:val="00172CDA"/>
    <w:rsid w:val="00172CF1"/>
    <w:rsid w:val="00172D86"/>
    <w:rsid w:val="00172E5E"/>
    <w:rsid w:val="00172FBA"/>
    <w:rsid w:val="00173215"/>
    <w:rsid w:val="001733C8"/>
    <w:rsid w:val="00173648"/>
    <w:rsid w:val="001736C5"/>
    <w:rsid w:val="0017375F"/>
    <w:rsid w:val="00173AB9"/>
    <w:rsid w:val="00173B54"/>
    <w:rsid w:val="00173F60"/>
    <w:rsid w:val="00174224"/>
    <w:rsid w:val="0017457C"/>
    <w:rsid w:val="0017457E"/>
    <w:rsid w:val="001745E0"/>
    <w:rsid w:val="0017469B"/>
    <w:rsid w:val="00174B2A"/>
    <w:rsid w:val="00174C2C"/>
    <w:rsid w:val="00174FCA"/>
    <w:rsid w:val="00174FF7"/>
    <w:rsid w:val="001750A1"/>
    <w:rsid w:val="001750CB"/>
    <w:rsid w:val="001750E8"/>
    <w:rsid w:val="00175112"/>
    <w:rsid w:val="00175158"/>
    <w:rsid w:val="001751C3"/>
    <w:rsid w:val="001753DB"/>
    <w:rsid w:val="00175779"/>
    <w:rsid w:val="001757A5"/>
    <w:rsid w:val="001757FB"/>
    <w:rsid w:val="00175996"/>
    <w:rsid w:val="00175B62"/>
    <w:rsid w:val="00175BDA"/>
    <w:rsid w:val="00175C30"/>
    <w:rsid w:val="00175D18"/>
    <w:rsid w:val="00175F62"/>
    <w:rsid w:val="0017606A"/>
    <w:rsid w:val="001760C8"/>
    <w:rsid w:val="0017694B"/>
    <w:rsid w:val="001769E4"/>
    <w:rsid w:val="00176A35"/>
    <w:rsid w:val="00176ADE"/>
    <w:rsid w:val="00176B17"/>
    <w:rsid w:val="00176D07"/>
    <w:rsid w:val="0017703A"/>
    <w:rsid w:val="00177113"/>
    <w:rsid w:val="00177187"/>
    <w:rsid w:val="001771C5"/>
    <w:rsid w:val="001774EB"/>
    <w:rsid w:val="001776FD"/>
    <w:rsid w:val="001777BF"/>
    <w:rsid w:val="00177853"/>
    <w:rsid w:val="00180071"/>
    <w:rsid w:val="00180116"/>
    <w:rsid w:val="001801BC"/>
    <w:rsid w:val="00180254"/>
    <w:rsid w:val="00180261"/>
    <w:rsid w:val="001802D5"/>
    <w:rsid w:val="001802F0"/>
    <w:rsid w:val="001803D8"/>
    <w:rsid w:val="00180427"/>
    <w:rsid w:val="0018045A"/>
    <w:rsid w:val="0018053A"/>
    <w:rsid w:val="00180586"/>
    <w:rsid w:val="001806EC"/>
    <w:rsid w:val="00180907"/>
    <w:rsid w:val="00180A04"/>
    <w:rsid w:val="00180A4E"/>
    <w:rsid w:val="00180A62"/>
    <w:rsid w:val="00180B5E"/>
    <w:rsid w:val="00180B96"/>
    <w:rsid w:val="00180BC3"/>
    <w:rsid w:val="00180D1A"/>
    <w:rsid w:val="00180DF1"/>
    <w:rsid w:val="00180EEE"/>
    <w:rsid w:val="001810E5"/>
    <w:rsid w:val="001811B5"/>
    <w:rsid w:val="0018135E"/>
    <w:rsid w:val="0018136B"/>
    <w:rsid w:val="00181644"/>
    <w:rsid w:val="00181837"/>
    <w:rsid w:val="00181844"/>
    <w:rsid w:val="00181965"/>
    <w:rsid w:val="00181B6E"/>
    <w:rsid w:val="00181C92"/>
    <w:rsid w:val="00181CD7"/>
    <w:rsid w:val="00181D7D"/>
    <w:rsid w:val="00182091"/>
    <w:rsid w:val="00182204"/>
    <w:rsid w:val="001823F4"/>
    <w:rsid w:val="00182446"/>
    <w:rsid w:val="001825C5"/>
    <w:rsid w:val="00182807"/>
    <w:rsid w:val="0018291C"/>
    <w:rsid w:val="001829F9"/>
    <w:rsid w:val="00182C60"/>
    <w:rsid w:val="00182D45"/>
    <w:rsid w:val="00182E37"/>
    <w:rsid w:val="00182E9E"/>
    <w:rsid w:val="00182FD2"/>
    <w:rsid w:val="00183227"/>
    <w:rsid w:val="00183283"/>
    <w:rsid w:val="001835F4"/>
    <w:rsid w:val="001836ED"/>
    <w:rsid w:val="001839F9"/>
    <w:rsid w:val="00183A26"/>
    <w:rsid w:val="00183E6F"/>
    <w:rsid w:val="001841C9"/>
    <w:rsid w:val="00184392"/>
    <w:rsid w:val="0018448A"/>
    <w:rsid w:val="00184683"/>
    <w:rsid w:val="0018489C"/>
    <w:rsid w:val="0018494A"/>
    <w:rsid w:val="001849DF"/>
    <w:rsid w:val="00184AD9"/>
    <w:rsid w:val="00184DE2"/>
    <w:rsid w:val="00184E21"/>
    <w:rsid w:val="00184F67"/>
    <w:rsid w:val="00185158"/>
    <w:rsid w:val="00185340"/>
    <w:rsid w:val="0018542D"/>
    <w:rsid w:val="0018547C"/>
    <w:rsid w:val="00185525"/>
    <w:rsid w:val="00185668"/>
    <w:rsid w:val="001856A4"/>
    <w:rsid w:val="001856AD"/>
    <w:rsid w:val="0018579A"/>
    <w:rsid w:val="00185BD2"/>
    <w:rsid w:val="00185D31"/>
    <w:rsid w:val="00185E18"/>
    <w:rsid w:val="00185EDE"/>
    <w:rsid w:val="00185F55"/>
    <w:rsid w:val="00185FE6"/>
    <w:rsid w:val="00186276"/>
    <w:rsid w:val="00186557"/>
    <w:rsid w:val="00186808"/>
    <w:rsid w:val="00186DA5"/>
    <w:rsid w:val="00186F79"/>
    <w:rsid w:val="0018707B"/>
    <w:rsid w:val="00187230"/>
    <w:rsid w:val="001872ED"/>
    <w:rsid w:val="00187305"/>
    <w:rsid w:val="0018739B"/>
    <w:rsid w:val="00187417"/>
    <w:rsid w:val="00187478"/>
    <w:rsid w:val="00187642"/>
    <w:rsid w:val="00187684"/>
    <w:rsid w:val="001876A8"/>
    <w:rsid w:val="00187704"/>
    <w:rsid w:val="00187785"/>
    <w:rsid w:val="0018778F"/>
    <w:rsid w:val="001877C5"/>
    <w:rsid w:val="001877D4"/>
    <w:rsid w:val="00187809"/>
    <w:rsid w:val="00187869"/>
    <w:rsid w:val="00187937"/>
    <w:rsid w:val="00187C91"/>
    <w:rsid w:val="00187D6B"/>
    <w:rsid w:val="00187E88"/>
    <w:rsid w:val="00187F29"/>
    <w:rsid w:val="00190297"/>
    <w:rsid w:val="0019040C"/>
    <w:rsid w:val="00190559"/>
    <w:rsid w:val="00190591"/>
    <w:rsid w:val="001907D3"/>
    <w:rsid w:val="00190A0F"/>
    <w:rsid w:val="00190B70"/>
    <w:rsid w:val="00190B8A"/>
    <w:rsid w:val="00190BB0"/>
    <w:rsid w:val="00190CCC"/>
    <w:rsid w:val="00190CEF"/>
    <w:rsid w:val="00190D85"/>
    <w:rsid w:val="00190DCC"/>
    <w:rsid w:val="00190E20"/>
    <w:rsid w:val="0019138F"/>
    <w:rsid w:val="001914D6"/>
    <w:rsid w:val="0019161A"/>
    <w:rsid w:val="001916B9"/>
    <w:rsid w:val="001918A1"/>
    <w:rsid w:val="00191A27"/>
    <w:rsid w:val="00191B28"/>
    <w:rsid w:val="00191B2F"/>
    <w:rsid w:val="00191FE4"/>
    <w:rsid w:val="00192156"/>
    <w:rsid w:val="00192350"/>
    <w:rsid w:val="001926EB"/>
    <w:rsid w:val="00192727"/>
    <w:rsid w:val="001928A8"/>
    <w:rsid w:val="00192953"/>
    <w:rsid w:val="00192D54"/>
    <w:rsid w:val="00193024"/>
    <w:rsid w:val="00193071"/>
    <w:rsid w:val="001931DD"/>
    <w:rsid w:val="001935CF"/>
    <w:rsid w:val="0019396F"/>
    <w:rsid w:val="00193BC2"/>
    <w:rsid w:val="00193C3E"/>
    <w:rsid w:val="00193CC8"/>
    <w:rsid w:val="00193E51"/>
    <w:rsid w:val="00193EF4"/>
    <w:rsid w:val="00193F31"/>
    <w:rsid w:val="00194178"/>
    <w:rsid w:val="0019424C"/>
    <w:rsid w:val="00194282"/>
    <w:rsid w:val="001942AA"/>
    <w:rsid w:val="00194367"/>
    <w:rsid w:val="001944DD"/>
    <w:rsid w:val="00194561"/>
    <w:rsid w:val="0019456E"/>
    <w:rsid w:val="0019476E"/>
    <w:rsid w:val="0019482C"/>
    <w:rsid w:val="0019486A"/>
    <w:rsid w:val="001949B2"/>
    <w:rsid w:val="001949C8"/>
    <w:rsid w:val="0019502E"/>
    <w:rsid w:val="0019517E"/>
    <w:rsid w:val="00195199"/>
    <w:rsid w:val="00195302"/>
    <w:rsid w:val="00195552"/>
    <w:rsid w:val="0019570C"/>
    <w:rsid w:val="00195711"/>
    <w:rsid w:val="0019579B"/>
    <w:rsid w:val="001957B3"/>
    <w:rsid w:val="0019582B"/>
    <w:rsid w:val="00195B70"/>
    <w:rsid w:val="001960EC"/>
    <w:rsid w:val="00196216"/>
    <w:rsid w:val="00196263"/>
    <w:rsid w:val="001962B6"/>
    <w:rsid w:val="001963A0"/>
    <w:rsid w:val="001963C3"/>
    <w:rsid w:val="001964A1"/>
    <w:rsid w:val="001964B4"/>
    <w:rsid w:val="00196876"/>
    <w:rsid w:val="00196CF2"/>
    <w:rsid w:val="00196D6C"/>
    <w:rsid w:val="00197172"/>
    <w:rsid w:val="001972EF"/>
    <w:rsid w:val="00197393"/>
    <w:rsid w:val="00197730"/>
    <w:rsid w:val="001977AB"/>
    <w:rsid w:val="001978D5"/>
    <w:rsid w:val="0019793D"/>
    <w:rsid w:val="00197D75"/>
    <w:rsid w:val="00197ECA"/>
    <w:rsid w:val="00197FC2"/>
    <w:rsid w:val="001A0161"/>
    <w:rsid w:val="001A05BB"/>
    <w:rsid w:val="001A0774"/>
    <w:rsid w:val="001A091D"/>
    <w:rsid w:val="001A0A6E"/>
    <w:rsid w:val="001A0A92"/>
    <w:rsid w:val="001A0AF4"/>
    <w:rsid w:val="001A0BCE"/>
    <w:rsid w:val="001A0C36"/>
    <w:rsid w:val="001A0D34"/>
    <w:rsid w:val="001A0E4B"/>
    <w:rsid w:val="001A0EE7"/>
    <w:rsid w:val="001A1159"/>
    <w:rsid w:val="001A1195"/>
    <w:rsid w:val="001A1491"/>
    <w:rsid w:val="001A1634"/>
    <w:rsid w:val="001A17CA"/>
    <w:rsid w:val="001A188F"/>
    <w:rsid w:val="001A194E"/>
    <w:rsid w:val="001A1B61"/>
    <w:rsid w:val="001A1DA4"/>
    <w:rsid w:val="001A1F76"/>
    <w:rsid w:val="001A2097"/>
    <w:rsid w:val="001A210F"/>
    <w:rsid w:val="001A2291"/>
    <w:rsid w:val="001A234C"/>
    <w:rsid w:val="001A26DC"/>
    <w:rsid w:val="001A27A7"/>
    <w:rsid w:val="001A28D0"/>
    <w:rsid w:val="001A2A11"/>
    <w:rsid w:val="001A2A9A"/>
    <w:rsid w:val="001A31D0"/>
    <w:rsid w:val="001A3258"/>
    <w:rsid w:val="001A327C"/>
    <w:rsid w:val="001A32FB"/>
    <w:rsid w:val="001A34C5"/>
    <w:rsid w:val="001A35D3"/>
    <w:rsid w:val="001A36A5"/>
    <w:rsid w:val="001A3712"/>
    <w:rsid w:val="001A3875"/>
    <w:rsid w:val="001A3904"/>
    <w:rsid w:val="001A392D"/>
    <w:rsid w:val="001A3B03"/>
    <w:rsid w:val="001A3B6E"/>
    <w:rsid w:val="001A3BFA"/>
    <w:rsid w:val="001A3CB4"/>
    <w:rsid w:val="001A407B"/>
    <w:rsid w:val="001A407E"/>
    <w:rsid w:val="001A4222"/>
    <w:rsid w:val="001A42F2"/>
    <w:rsid w:val="001A449A"/>
    <w:rsid w:val="001A44DC"/>
    <w:rsid w:val="001A4639"/>
    <w:rsid w:val="001A47C3"/>
    <w:rsid w:val="001A4C67"/>
    <w:rsid w:val="001A4D4E"/>
    <w:rsid w:val="001A4DCE"/>
    <w:rsid w:val="001A4DF7"/>
    <w:rsid w:val="001A4EFB"/>
    <w:rsid w:val="001A4F6D"/>
    <w:rsid w:val="001A4FC6"/>
    <w:rsid w:val="001A5254"/>
    <w:rsid w:val="001A544C"/>
    <w:rsid w:val="001A55EF"/>
    <w:rsid w:val="001A577D"/>
    <w:rsid w:val="001A590B"/>
    <w:rsid w:val="001A59F9"/>
    <w:rsid w:val="001A5C12"/>
    <w:rsid w:val="001A5CA9"/>
    <w:rsid w:val="001A5CF9"/>
    <w:rsid w:val="001A5D58"/>
    <w:rsid w:val="001A5DED"/>
    <w:rsid w:val="001A5EE5"/>
    <w:rsid w:val="001A5F43"/>
    <w:rsid w:val="001A6018"/>
    <w:rsid w:val="001A669D"/>
    <w:rsid w:val="001A6CC8"/>
    <w:rsid w:val="001A7176"/>
    <w:rsid w:val="001A7376"/>
    <w:rsid w:val="001A74E6"/>
    <w:rsid w:val="001A76A8"/>
    <w:rsid w:val="001A777D"/>
    <w:rsid w:val="001A7896"/>
    <w:rsid w:val="001A7900"/>
    <w:rsid w:val="001A7A51"/>
    <w:rsid w:val="001A7AA4"/>
    <w:rsid w:val="001A7B32"/>
    <w:rsid w:val="001A7CA9"/>
    <w:rsid w:val="001A7CE9"/>
    <w:rsid w:val="001A7D8B"/>
    <w:rsid w:val="001A7E2A"/>
    <w:rsid w:val="001A7EEE"/>
    <w:rsid w:val="001B0050"/>
    <w:rsid w:val="001B0480"/>
    <w:rsid w:val="001B095E"/>
    <w:rsid w:val="001B0C5D"/>
    <w:rsid w:val="001B0D4C"/>
    <w:rsid w:val="001B0FE6"/>
    <w:rsid w:val="001B1094"/>
    <w:rsid w:val="001B10FC"/>
    <w:rsid w:val="001B1140"/>
    <w:rsid w:val="001B1189"/>
    <w:rsid w:val="001B132D"/>
    <w:rsid w:val="001B152B"/>
    <w:rsid w:val="001B168A"/>
    <w:rsid w:val="001B16AA"/>
    <w:rsid w:val="001B182A"/>
    <w:rsid w:val="001B19DC"/>
    <w:rsid w:val="001B1AC0"/>
    <w:rsid w:val="001B1D89"/>
    <w:rsid w:val="001B2024"/>
    <w:rsid w:val="001B23A5"/>
    <w:rsid w:val="001B241E"/>
    <w:rsid w:val="001B24FD"/>
    <w:rsid w:val="001B272C"/>
    <w:rsid w:val="001B27CC"/>
    <w:rsid w:val="001B2822"/>
    <w:rsid w:val="001B2BA1"/>
    <w:rsid w:val="001B2D43"/>
    <w:rsid w:val="001B2DCF"/>
    <w:rsid w:val="001B2EB8"/>
    <w:rsid w:val="001B2F0C"/>
    <w:rsid w:val="001B2F1C"/>
    <w:rsid w:val="001B30A0"/>
    <w:rsid w:val="001B3361"/>
    <w:rsid w:val="001B346B"/>
    <w:rsid w:val="001B3528"/>
    <w:rsid w:val="001B355A"/>
    <w:rsid w:val="001B358E"/>
    <w:rsid w:val="001B3845"/>
    <w:rsid w:val="001B3A92"/>
    <w:rsid w:val="001B3EE6"/>
    <w:rsid w:val="001B4078"/>
    <w:rsid w:val="001B4183"/>
    <w:rsid w:val="001B423E"/>
    <w:rsid w:val="001B4265"/>
    <w:rsid w:val="001B4886"/>
    <w:rsid w:val="001B48A5"/>
    <w:rsid w:val="001B4994"/>
    <w:rsid w:val="001B4B1C"/>
    <w:rsid w:val="001B4B9B"/>
    <w:rsid w:val="001B4C8B"/>
    <w:rsid w:val="001B4C95"/>
    <w:rsid w:val="001B4DBB"/>
    <w:rsid w:val="001B500C"/>
    <w:rsid w:val="001B5063"/>
    <w:rsid w:val="001B5102"/>
    <w:rsid w:val="001B5574"/>
    <w:rsid w:val="001B5679"/>
    <w:rsid w:val="001B567C"/>
    <w:rsid w:val="001B56EF"/>
    <w:rsid w:val="001B5968"/>
    <w:rsid w:val="001B5B7A"/>
    <w:rsid w:val="001B5BA9"/>
    <w:rsid w:val="001B5BC2"/>
    <w:rsid w:val="001B5C66"/>
    <w:rsid w:val="001B5E71"/>
    <w:rsid w:val="001B5F5F"/>
    <w:rsid w:val="001B61B1"/>
    <w:rsid w:val="001B61BF"/>
    <w:rsid w:val="001B63D2"/>
    <w:rsid w:val="001B645B"/>
    <w:rsid w:val="001B65B8"/>
    <w:rsid w:val="001B6613"/>
    <w:rsid w:val="001B66E5"/>
    <w:rsid w:val="001B66E9"/>
    <w:rsid w:val="001B67F7"/>
    <w:rsid w:val="001B69D0"/>
    <w:rsid w:val="001B6A7E"/>
    <w:rsid w:val="001B6B42"/>
    <w:rsid w:val="001B6CA9"/>
    <w:rsid w:val="001B6CDB"/>
    <w:rsid w:val="001B6D05"/>
    <w:rsid w:val="001B7000"/>
    <w:rsid w:val="001B74BC"/>
    <w:rsid w:val="001B765B"/>
    <w:rsid w:val="001B76B8"/>
    <w:rsid w:val="001B7B3E"/>
    <w:rsid w:val="001B7BF2"/>
    <w:rsid w:val="001B7D21"/>
    <w:rsid w:val="001B7E61"/>
    <w:rsid w:val="001B7EFF"/>
    <w:rsid w:val="001C02B4"/>
    <w:rsid w:val="001C038F"/>
    <w:rsid w:val="001C04D4"/>
    <w:rsid w:val="001C04F5"/>
    <w:rsid w:val="001C05A1"/>
    <w:rsid w:val="001C05AD"/>
    <w:rsid w:val="001C066B"/>
    <w:rsid w:val="001C06DB"/>
    <w:rsid w:val="001C07A1"/>
    <w:rsid w:val="001C08D8"/>
    <w:rsid w:val="001C0B43"/>
    <w:rsid w:val="001C0BB7"/>
    <w:rsid w:val="001C0C7C"/>
    <w:rsid w:val="001C0CA8"/>
    <w:rsid w:val="001C0CB1"/>
    <w:rsid w:val="001C0F41"/>
    <w:rsid w:val="001C0F63"/>
    <w:rsid w:val="001C10A1"/>
    <w:rsid w:val="001C10AF"/>
    <w:rsid w:val="001C111B"/>
    <w:rsid w:val="001C11C0"/>
    <w:rsid w:val="001C131D"/>
    <w:rsid w:val="001C158C"/>
    <w:rsid w:val="001C161F"/>
    <w:rsid w:val="001C1882"/>
    <w:rsid w:val="001C195B"/>
    <w:rsid w:val="001C197B"/>
    <w:rsid w:val="001C19BA"/>
    <w:rsid w:val="001C19CB"/>
    <w:rsid w:val="001C1B6A"/>
    <w:rsid w:val="001C1CC9"/>
    <w:rsid w:val="001C1CF3"/>
    <w:rsid w:val="001C1DC3"/>
    <w:rsid w:val="001C1E69"/>
    <w:rsid w:val="001C1EC4"/>
    <w:rsid w:val="001C2332"/>
    <w:rsid w:val="001C2515"/>
    <w:rsid w:val="001C27BE"/>
    <w:rsid w:val="001C28C9"/>
    <w:rsid w:val="001C2B64"/>
    <w:rsid w:val="001C2E72"/>
    <w:rsid w:val="001C2F3A"/>
    <w:rsid w:val="001C317D"/>
    <w:rsid w:val="001C31B5"/>
    <w:rsid w:val="001C3276"/>
    <w:rsid w:val="001C328D"/>
    <w:rsid w:val="001C3824"/>
    <w:rsid w:val="001C38BA"/>
    <w:rsid w:val="001C3933"/>
    <w:rsid w:val="001C3A7B"/>
    <w:rsid w:val="001C3D98"/>
    <w:rsid w:val="001C3F08"/>
    <w:rsid w:val="001C41AA"/>
    <w:rsid w:val="001C41AB"/>
    <w:rsid w:val="001C4242"/>
    <w:rsid w:val="001C425F"/>
    <w:rsid w:val="001C439B"/>
    <w:rsid w:val="001C43E1"/>
    <w:rsid w:val="001C464F"/>
    <w:rsid w:val="001C4740"/>
    <w:rsid w:val="001C488C"/>
    <w:rsid w:val="001C4D05"/>
    <w:rsid w:val="001C4F85"/>
    <w:rsid w:val="001C4FCC"/>
    <w:rsid w:val="001C5405"/>
    <w:rsid w:val="001C5484"/>
    <w:rsid w:val="001C54C7"/>
    <w:rsid w:val="001C556F"/>
    <w:rsid w:val="001C55B7"/>
    <w:rsid w:val="001C566C"/>
    <w:rsid w:val="001C5728"/>
    <w:rsid w:val="001C59A7"/>
    <w:rsid w:val="001C5E87"/>
    <w:rsid w:val="001C5FA1"/>
    <w:rsid w:val="001C600A"/>
    <w:rsid w:val="001C620B"/>
    <w:rsid w:val="001C6472"/>
    <w:rsid w:val="001C64A8"/>
    <w:rsid w:val="001C65F3"/>
    <w:rsid w:val="001C677F"/>
    <w:rsid w:val="001C6B37"/>
    <w:rsid w:val="001C6B7D"/>
    <w:rsid w:val="001C6C8D"/>
    <w:rsid w:val="001C6D2B"/>
    <w:rsid w:val="001C70C9"/>
    <w:rsid w:val="001C719E"/>
    <w:rsid w:val="001C72DD"/>
    <w:rsid w:val="001C7462"/>
    <w:rsid w:val="001C74F5"/>
    <w:rsid w:val="001C7529"/>
    <w:rsid w:val="001C7660"/>
    <w:rsid w:val="001C76B8"/>
    <w:rsid w:val="001C7862"/>
    <w:rsid w:val="001C78E5"/>
    <w:rsid w:val="001C795C"/>
    <w:rsid w:val="001C7B2F"/>
    <w:rsid w:val="001C7C7D"/>
    <w:rsid w:val="001C7D8E"/>
    <w:rsid w:val="001CA3DE"/>
    <w:rsid w:val="001D0230"/>
    <w:rsid w:val="001D026F"/>
    <w:rsid w:val="001D0292"/>
    <w:rsid w:val="001D0470"/>
    <w:rsid w:val="001D07EE"/>
    <w:rsid w:val="001D08F5"/>
    <w:rsid w:val="001D0954"/>
    <w:rsid w:val="001D095D"/>
    <w:rsid w:val="001D0974"/>
    <w:rsid w:val="001D0BA0"/>
    <w:rsid w:val="001D0D59"/>
    <w:rsid w:val="001D0E35"/>
    <w:rsid w:val="001D0ED8"/>
    <w:rsid w:val="001D0F31"/>
    <w:rsid w:val="001D101F"/>
    <w:rsid w:val="001D18BD"/>
    <w:rsid w:val="001D194A"/>
    <w:rsid w:val="001D1987"/>
    <w:rsid w:val="001D1A0D"/>
    <w:rsid w:val="001D1B4F"/>
    <w:rsid w:val="001D1C02"/>
    <w:rsid w:val="001D1D61"/>
    <w:rsid w:val="001D1FC7"/>
    <w:rsid w:val="001D23A7"/>
    <w:rsid w:val="001D2500"/>
    <w:rsid w:val="001D2530"/>
    <w:rsid w:val="001D25A6"/>
    <w:rsid w:val="001D25F9"/>
    <w:rsid w:val="001D2806"/>
    <w:rsid w:val="001D2847"/>
    <w:rsid w:val="001D2A8E"/>
    <w:rsid w:val="001D2A97"/>
    <w:rsid w:val="001D2B2F"/>
    <w:rsid w:val="001D2B47"/>
    <w:rsid w:val="001D2BE1"/>
    <w:rsid w:val="001D2EB8"/>
    <w:rsid w:val="001D2EC9"/>
    <w:rsid w:val="001D2F4F"/>
    <w:rsid w:val="001D3038"/>
    <w:rsid w:val="001D3081"/>
    <w:rsid w:val="001D3084"/>
    <w:rsid w:val="001D30CE"/>
    <w:rsid w:val="001D3138"/>
    <w:rsid w:val="001D3140"/>
    <w:rsid w:val="001D317B"/>
    <w:rsid w:val="001D31B7"/>
    <w:rsid w:val="001D3438"/>
    <w:rsid w:val="001D3807"/>
    <w:rsid w:val="001D39EA"/>
    <w:rsid w:val="001D3BBD"/>
    <w:rsid w:val="001D3BC7"/>
    <w:rsid w:val="001D3D46"/>
    <w:rsid w:val="001D3DD1"/>
    <w:rsid w:val="001D4112"/>
    <w:rsid w:val="001D42B8"/>
    <w:rsid w:val="001D453A"/>
    <w:rsid w:val="001D45A4"/>
    <w:rsid w:val="001D467A"/>
    <w:rsid w:val="001D47CD"/>
    <w:rsid w:val="001D483C"/>
    <w:rsid w:val="001D4949"/>
    <w:rsid w:val="001D4B2A"/>
    <w:rsid w:val="001D4B94"/>
    <w:rsid w:val="001D4CFE"/>
    <w:rsid w:val="001D4DD7"/>
    <w:rsid w:val="001D4DE1"/>
    <w:rsid w:val="001D4E04"/>
    <w:rsid w:val="001D4EAE"/>
    <w:rsid w:val="001D4F25"/>
    <w:rsid w:val="001D5088"/>
    <w:rsid w:val="001D52AE"/>
    <w:rsid w:val="001D52DB"/>
    <w:rsid w:val="001D5611"/>
    <w:rsid w:val="001D56DF"/>
    <w:rsid w:val="001D5782"/>
    <w:rsid w:val="001D5C19"/>
    <w:rsid w:val="001D5D4E"/>
    <w:rsid w:val="001D5DE0"/>
    <w:rsid w:val="001D6129"/>
    <w:rsid w:val="001D63D0"/>
    <w:rsid w:val="001D64E8"/>
    <w:rsid w:val="001D6524"/>
    <w:rsid w:val="001D6667"/>
    <w:rsid w:val="001D668E"/>
    <w:rsid w:val="001D66B7"/>
    <w:rsid w:val="001D6823"/>
    <w:rsid w:val="001D6B0C"/>
    <w:rsid w:val="001D6B6A"/>
    <w:rsid w:val="001D6EA8"/>
    <w:rsid w:val="001D6FF6"/>
    <w:rsid w:val="001D7081"/>
    <w:rsid w:val="001D71D0"/>
    <w:rsid w:val="001D72FC"/>
    <w:rsid w:val="001D7333"/>
    <w:rsid w:val="001D7359"/>
    <w:rsid w:val="001D7839"/>
    <w:rsid w:val="001D796A"/>
    <w:rsid w:val="001D7A5A"/>
    <w:rsid w:val="001D7D66"/>
    <w:rsid w:val="001D7DA4"/>
    <w:rsid w:val="001E05FD"/>
    <w:rsid w:val="001E07F3"/>
    <w:rsid w:val="001E08A3"/>
    <w:rsid w:val="001E08D0"/>
    <w:rsid w:val="001E0960"/>
    <w:rsid w:val="001E0B61"/>
    <w:rsid w:val="001E0E4E"/>
    <w:rsid w:val="001E1242"/>
    <w:rsid w:val="001E1244"/>
    <w:rsid w:val="001E1290"/>
    <w:rsid w:val="001E1343"/>
    <w:rsid w:val="001E14A2"/>
    <w:rsid w:val="001E17D8"/>
    <w:rsid w:val="001E18FF"/>
    <w:rsid w:val="001E19A5"/>
    <w:rsid w:val="001E1A24"/>
    <w:rsid w:val="001E1A52"/>
    <w:rsid w:val="001E1B93"/>
    <w:rsid w:val="001E1DB0"/>
    <w:rsid w:val="001E1DE4"/>
    <w:rsid w:val="001E1EE2"/>
    <w:rsid w:val="001E23A4"/>
    <w:rsid w:val="001E2572"/>
    <w:rsid w:val="001E2755"/>
    <w:rsid w:val="001E2942"/>
    <w:rsid w:val="001E2A8A"/>
    <w:rsid w:val="001E2AE6"/>
    <w:rsid w:val="001E2BB6"/>
    <w:rsid w:val="001E2C10"/>
    <w:rsid w:val="001E2C7C"/>
    <w:rsid w:val="001E3055"/>
    <w:rsid w:val="001E30EC"/>
    <w:rsid w:val="001E3156"/>
    <w:rsid w:val="001E36B8"/>
    <w:rsid w:val="001E390C"/>
    <w:rsid w:val="001E3D4F"/>
    <w:rsid w:val="001E3E0E"/>
    <w:rsid w:val="001E3E2D"/>
    <w:rsid w:val="001E40C9"/>
    <w:rsid w:val="001E43AF"/>
    <w:rsid w:val="001E43BC"/>
    <w:rsid w:val="001E4412"/>
    <w:rsid w:val="001E4603"/>
    <w:rsid w:val="001E488E"/>
    <w:rsid w:val="001E48CC"/>
    <w:rsid w:val="001E4A02"/>
    <w:rsid w:val="001E4A1A"/>
    <w:rsid w:val="001E4B3C"/>
    <w:rsid w:val="001E4C00"/>
    <w:rsid w:val="001E4C3B"/>
    <w:rsid w:val="001E4C5F"/>
    <w:rsid w:val="001E5050"/>
    <w:rsid w:val="001E5463"/>
    <w:rsid w:val="001E553D"/>
    <w:rsid w:val="001E5548"/>
    <w:rsid w:val="001E55FE"/>
    <w:rsid w:val="001E571C"/>
    <w:rsid w:val="001E5832"/>
    <w:rsid w:val="001E5A19"/>
    <w:rsid w:val="001E5AB3"/>
    <w:rsid w:val="001E5B23"/>
    <w:rsid w:val="001E5B41"/>
    <w:rsid w:val="001E5D9F"/>
    <w:rsid w:val="001E617D"/>
    <w:rsid w:val="001E6343"/>
    <w:rsid w:val="001E65AF"/>
    <w:rsid w:val="001E6644"/>
    <w:rsid w:val="001E6699"/>
    <w:rsid w:val="001E682F"/>
    <w:rsid w:val="001E6AB2"/>
    <w:rsid w:val="001E6B49"/>
    <w:rsid w:val="001E6E37"/>
    <w:rsid w:val="001E6FE2"/>
    <w:rsid w:val="001E7110"/>
    <w:rsid w:val="001E71FE"/>
    <w:rsid w:val="001E7224"/>
    <w:rsid w:val="001E73AB"/>
    <w:rsid w:val="001E74AB"/>
    <w:rsid w:val="001E7610"/>
    <w:rsid w:val="001E7729"/>
    <w:rsid w:val="001E7778"/>
    <w:rsid w:val="001E78A4"/>
    <w:rsid w:val="001E78E7"/>
    <w:rsid w:val="001E7A52"/>
    <w:rsid w:val="001E7AB4"/>
    <w:rsid w:val="001E7D7F"/>
    <w:rsid w:val="001E7E33"/>
    <w:rsid w:val="001E7EAC"/>
    <w:rsid w:val="001E7ED2"/>
    <w:rsid w:val="001E7FC1"/>
    <w:rsid w:val="001F0111"/>
    <w:rsid w:val="001F0587"/>
    <w:rsid w:val="001F05F3"/>
    <w:rsid w:val="001F06BE"/>
    <w:rsid w:val="001F0846"/>
    <w:rsid w:val="001F089C"/>
    <w:rsid w:val="001F08D4"/>
    <w:rsid w:val="001F0A42"/>
    <w:rsid w:val="001F0C4A"/>
    <w:rsid w:val="001F0C8E"/>
    <w:rsid w:val="001F0DAA"/>
    <w:rsid w:val="001F14AA"/>
    <w:rsid w:val="001F153D"/>
    <w:rsid w:val="001F157F"/>
    <w:rsid w:val="001F1658"/>
    <w:rsid w:val="001F1676"/>
    <w:rsid w:val="001F16AF"/>
    <w:rsid w:val="001F1CD4"/>
    <w:rsid w:val="001F2035"/>
    <w:rsid w:val="001F24EA"/>
    <w:rsid w:val="001F2895"/>
    <w:rsid w:val="001F2C78"/>
    <w:rsid w:val="001F2C89"/>
    <w:rsid w:val="001F3173"/>
    <w:rsid w:val="001F32F4"/>
    <w:rsid w:val="001F370C"/>
    <w:rsid w:val="001F380E"/>
    <w:rsid w:val="001F3CFC"/>
    <w:rsid w:val="001F4052"/>
    <w:rsid w:val="001F40DD"/>
    <w:rsid w:val="001F4289"/>
    <w:rsid w:val="001F437E"/>
    <w:rsid w:val="001F4699"/>
    <w:rsid w:val="001F46D5"/>
    <w:rsid w:val="001F478C"/>
    <w:rsid w:val="001F47D6"/>
    <w:rsid w:val="001F47E4"/>
    <w:rsid w:val="001F4A67"/>
    <w:rsid w:val="001F4A6C"/>
    <w:rsid w:val="001F4B88"/>
    <w:rsid w:val="001F4F0B"/>
    <w:rsid w:val="001F5055"/>
    <w:rsid w:val="001F51B0"/>
    <w:rsid w:val="001F52C3"/>
    <w:rsid w:val="001F52E0"/>
    <w:rsid w:val="001F564C"/>
    <w:rsid w:val="001F56DD"/>
    <w:rsid w:val="001F5763"/>
    <w:rsid w:val="001F5847"/>
    <w:rsid w:val="001F5855"/>
    <w:rsid w:val="001F5900"/>
    <w:rsid w:val="001F59A6"/>
    <w:rsid w:val="001F59B0"/>
    <w:rsid w:val="001F5A8C"/>
    <w:rsid w:val="001F5ADD"/>
    <w:rsid w:val="001F5C5F"/>
    <w:rsid w:val="001F5CA4"/>
    <w:rsid w:val="001F5EA2"/>
    <w:rsid w:val="001F5F15"/>
    <w:rsid w:val="001F5F44"/>
    <w:rsid w:val="001F61B3"/>
    <w:rsid w:val="001F64B3"/>
    <w:rsid w:val="001F64E0"/>
    <w:rsid w:val="001F6708"/>
    <w:rsid w:val="001F6754"/>
    <w:rsid w:val="001F6936"/>
    <w:rsid w:val="001F6A38"/>
    <w:rsid w:val="001F6BB7"/>
    <w:rsid w:val="001F6C3E"/>
    <w:rsid w:val="001F6DD8"/>
    <w:rsid w:val="001F6EBF"/>
    <w:rsid w:val="001F6EE7"/>
    <w:rsid w:val="001F73CC"/>
    <w:rsid w:val="001F759C"/>
    <w:rsid w:val="001F759E"/>
    <w:rsid w:val="001F76C2"/>
    <w:rsid w:val="001F7FAD"/>
    <w:rsid w:val="0020000F"/>
    <w:rsid w:val="002000B9"/>
    <w:rsid w:val="0020011D"/>
    <w:rsid w:val="00200200"/>
    <w:rsid w:val="002004F1"/>
    <w:rsid w:val="00200536"/>
    <w:rsid w:val="00200627"/>
    <w:rsid w:val="002007F2"/>
    <w:rsid w:val="00200941"/>
    <w:rsid w:val="00200962"/>
    <w:rsid w:val="002009A3"/>
    <w:rsid w:val="00200BEF"/>
    <w:rsid w:val="00200C36"/>
    <w:rsid w:val="00200C57"/>
    <w:rsid w:val="00200DFE"/>
    <w:rsid w:val="00200F60"/>
    <w:rsid w:val="00200FE3"/>
    <w:rsid w:val="00201131"/>
    <w:rsid w:val="002016D2"/>
    <w:rsid w:val="00201798"/>
    <w:rsid w:val="002018EC"/>
    <w:rsid w:val="00201A1E"/>
    <w:rsid w:val="00201BA7"/>
    <w:rsid w:val="00201C8C"/>
    <w:rsid w:val="00201CD3"/>
    <w:rsid w:val="00201CD8"/>
    <w:rsid w:val="00201CDA"/>
    <w:rsid w:val="002020CA"/>
    <w:rsid w:val="002020D6"/>
    <w:rsid w:val="0020211C"/>
    <w:rsid w:val="0020224B"/>
    <w:rsid w:val="0020235C"/>
    <w:rsid w:val="0020254D"/>
    <w:rsid w:val="002025B3"/>
    <w:rsid w:val="00202624"/>
    <w:rsid w:val="0020274A"/>
    <w:rsid w:val="00202A4B"/>
    <w:rsid w:val="00202FB3"/>
    <w:rsid w:val="00202FD0"/>
    <w:rsid w:val="0020301C"/>
    <w:rsid w:val="002032BD"/>
    <w:rsid w:val="002033A6"/>
    <w:rsid w:val="002033C0"/>
    <w:rsid w:val="00203474"/>
    <w:rsid w:val="0020348A"/>
    <w:rsid w:val="0020349C"/>
    <w:rsid w:val="002034BB"/>
    <w:rsid w:val="0020367C"/>
    <w:rsid w:val="00203776"/>
    <w:rsid w:val="002039B1"/>
    <w:rsid w:val="00203B74"/>
    <w:rsid w:val="00203B91"/>
    <w:rsid w:val="0020418D"/>
    <w:rsid w:val="0020427D"/>
    <w:rsid w:val="00204539"/>
    <w:rsid w:val="002045DC"/>
    <w:rsid w:val="0020472D"/>
    <w:rsid w:val="002047F0"/>
    <w:rsid w:val="0020487E"/>
    <w:rsid w:val="00204984"/>
    <w:rsid w:val="00204A81"/>
    <w:rsid w:val="00204D8A"/>
    <w:rsid w:val="00204F3A"/>
    <w:rsid w:val="0020508B"/>
    <w:rsid w:val="00205152"/>
    <w:rsid w:val="002051D3"/>
    <w:rsid w:val="00205481"/>
    <w:rsid w:val="00205549"/>
    <w:rsid w:val="002057FC"/>
    <w:rsid w:val="0020586C"/>
    <w:rsid w:val="0020587C"/>
    <w:rsid w:val="002058DD"/>
    <w:rsid w:val="00205DDC"/>
    <w:rsid w:val="00206190"/>
    <w:rsid w:val="002061C7"/>
    <w:rsid w:val="00206494"/>
    <w:rsid w:val="00206691"/>
    <w:rsid w:val="002067B3"/>
    <w:rsid w:val="002067D0"/>
    <w:rsid w:val="002068B5"/>
    <w:rsid w:val="002069A6"/>
    <w:rsid w:val="00206C39"/>
    <w:rsid w:val="00206D75"/>
    <w:rsid w:val="00206D7E"/>
    <w:rsid w:val="00206F5F"/>
    <w:rsid w:val="0020702F"/>
    <w:rsid w:val="00207698"/>
    <w:rsid w:val="002076C0"/>
    <w:rsid w:val="002077D3"/>
    <w:rsid w:val="002077DA"/>
    <w:rsid w:val="00207852"/>
    <w:rsid w:val="002078D4"/>
    <w:rsid w:val="002078F8"/>
    <w:rsid w:val="002079B7"/>
    <w:rsid w:val="0021004B"/>
    <w:rsid w:val="00210220"/>
    <w:rsid w:val="0021029D"/>
    <w:rsid w:val="002106ED"/>
    <w:rsid w:val="00210B8E"/>
    <w:rsid w:val="00210DDD"/>
    <w:rsid w:val="00210E7B"/>
    <w:rsid w:val="00210F3F"/>
    <w:rsid w:val="00210F74"/>
    <w:rsid w:val="00211448"/>
    <w:rsid w:val="0021145C"/>
    <w:rsid w:val="002114C2"/>
    <w:rsid w:val="002114C3"/>
    <w:rsid w:val="00211745"/>
    <w:rsid w:val="00211918"/>
    <w:rsid w:val="00211C1E"/>
    <w:rsid w:val="00211D42"/>
    <w:rsid w:val="00211D94"/>
    <w:rsid w:val="00211D95"/>
    <w:rsid w:val="00212029"/>
    <w:rsid w:val="00212054"/>
    <w:rsid w:val="002120BB"/>
    <w:rsid w:val="002121E9"/>
    <w:rsid w:val="00212304"/>
    <w:rsid w:val="00212425"/>
    <w:rsid w:val="002124DB"/>
    <w:rsid w:val="0021271C"/>
    <w:rsid w:val="00212875"/>
    <w:rsid w:val="002128F8"/>
    <w:rsid w:val="00212BEC"/>
    <w:rsid w:val="00212C58"/>
    <w:rsid w:val="00212F6E"/>
    <w:rsid w:val="00212FEE"/>
    <w:rsid w:val="0021310D"/>
    <w:rsid w:val="00213204"/>
    <w:rsid w:val="00213265"/>
    <w:rsid w:val="0021328D"/>
    <w:rsid w:val="002132C1"/>
    <w:rsid w:val="00213339"/>
    <w:rsid w:val="0021333A"/>
    <w:rsid w:val="0021336C"/>
    <w:rsid w:val="00213391"/>
    <w:rsid w:val="002133E2"/>
    <w:rsid w:val="002134B1"/>
    <w:rsid w:val="0021350B"/>
    <w:rsid w:val="002136D1"/>
    <w:rsid w:val="00213B47"/>
    <w:rsid w:val="00213E0B"/>
    <w:rsid w:val="00213EEF"/>
    <w:rsid w:val="00214053"/>
    <w:rsid w:val="00214303"/>
    <w:rsid w:val="002143FC"/>
    <w:rsid w:val="0021449D"/>
    <w:rsid w:val="00214615"/>
    <w:rsid w:val="00214809"/>
    <w:rsid w:val="00214967"/>
    <w:rsid w:val="00214B01"/>
    <w:rsid w:val="00214DBF"/>
    <w:rsid w:val="00214ED3"/>
    <w:rsid w:val="002152D9"/>
    <w:rsid w:val="00215620"/>
    <w:rsid w:val="00215865"/>
    <w:rsid w:val="002158AE"/>
    <w:rsid w:val="002158CF"/>
    <w:rsid w:val="00215A28"/>
    <w:rsid w:val="00215B88"/>
    <w:rsid w:val="00215D3C"/>
    <w:rsid w:val="00215FFA"/>
    <w:rsid w:val="002161A1"/>
    <w:rsid w:val="002164A0"/>
    <w:rsid w:val="002165BD"/>
    <w:rsid w:val="0021678C"/>
    <w:rsid w:val="00216961"/>
    <w:rsid w:val="002169DD"/>
    <w:rsid w:val="00216B0C"/>
    <w:rsid w:val="00216BBC"/>
    <w:rsid w:val="00216C9D"/>
    <w:rsid w:val="00216DB4"/>
    <w:rsid w:val="00216DEB"/>
    <w:rsid w:val="002171CD"/>
    <w:rsid w:val="00217225"/>
    <w:rsid w:val="002172A4"/>
    <w:rsid w:val="0021747E"/>
    <w:rsid w:val="00217709"/>
    <w:rsid w:val="00217984"/>
    <w:rsid w:val="00217BEF"/>
    <w:rsid w:val="00217DC8"/>
    <w:rsid w:val="00217DDB"/>
    <w:rsid w:val="00217F44"/>
    <w:rsid w:val="00220197"/>
    <w:rsid w:val="00220455"/>
    <w:rsid w:val="0022057B"/>
    <w:rsid w:val="0022077C"/>
    <w:rsid w:val="0022081D"/>
    <w:rsid w:val="0022088F"/>
    <w:rsid w:val="002208A0"/>
    <w:rsid w:val="0022094A"/>
    <w:rsid w:val="00220A6F"/>
    <w:rsid w:val="00220CA9"/>
    <w:rsid w:val="00220D23"/>
    <w:rsid w:val="00220D40"/>
    <w:rsid w:val="00220E10"/>
    <w:rsid w:val="0022111D"/>
    <w:rsid w:val="00221215"/>
    <w:rsid w:val="002212EE"/>
    <w:rsid w:val="00221472"/>
    <w:rsid w:val="0022164F"/>
    <w:rsid w:val="002216AB"/>
    <w:rsid w:val="0022188A"/>
    <w:rsid w:val="0022199A"/>
    <w:rsid w:val="002219EC"/>
    <w:rsid w:val="00221C22"/>
    <w:rsid w:val="00221D15"/>
    <w:rsid w:val="00221DA9"/>
    <w:rsid w:val="00221DF8"/>
    <w:rsid w:val="00221E96"/>
    <w:rsid w:val="00221EB0"/>
    <w:rsid w:val="00221F00"/>
    <w:rsid w:val="00221F30"/>
    <w:rsid w:val="0022212D"/>
    <w:rsid w:val="00222244"/>
    <w:rsid w:val="0022238C"/>
    <w:rsid w:val="00222489"/>
    <w:rsid w:val="002224F9"/>
    <w:rsid w:val="0022278E"/>
    <w:rsid w:val="0022279B"/>
    <w:rsid w:val="002227F3"/>
    <w:rsid w:val="0022297F"/>
    <w:rsid w:val="002229C2"/>
    <w:rsid w:val="00222A6E"/>
    <w:rsid w:val="00222AF0"/>
    <w:rsid w:val="00222BE6"/>
    <w:rsid w:val="00222C09"/>
    <w:rsid w:val="00223100"/>
    <w:rsid w:val="002231E2"/>
    <w:rsid w:val="002232CD"/>
    <w:rsid w:val="0022334C"/>
    <w:rsid w:val="002233C0"/>
    <w:rsid w:val="00223423"/>
    <w:rsid w:val="0022354E"/>
    <w:rsid w:val="002235CE"/>
    <w:rsid w:val="00223774"/>
    <w:rsid w:val="00223782"/>
    <w:rsid w:val="00223CD8"/>
    <w:rsid w:val="00223CE9"/>
    <w:rsid w:val="00223D6D"/>
    <w:rsid w:val="002240E7"/>
    <w:rsid w:val="002241F0"/>
    <w:rsid w:val="002242F0"/>
    <w:rsid w:val="00224396"/>
    <w:rsid w:val="00224632"/>
    <w:rsid w:val="002246A5"/>
    <w:rsid w:val="002246FA"/>
    <w:rsid w:val="002247E4"/>
    <w:rsid w:val="00224B74"/>
    <w:rsid w:val="00224C1B"/>
    <w:rsid w:val="00224C2F"/>
    <w:rsid w:val="00224F8A"/>
    <w:rsid w:val="00224FD1"/>
    <w:rsid w:val="002250E2"/>
    <w:rsid w:val="00225387"/>
    <w:rsid w:val="00225488"/>
    <w:rsid w:val="002256C2"/>
    <w:rsid w:val="0022579F"/>
    <w:rsid w:val="00225B86"/>
    <w:rsid w:val="00225BEC"/>
    <w:rsid w:val="00225C28"/>
    <w:rsid w:val="00225D3F"/>
    <w:rsid w:val="00225DAC"/>
    <w:rsid w:val="00225EEB"/>
    <w:rsid w:val="002261CC"/>
    <w:rsid w:val="002267E7"/>
    <w:rsid w:val="00226A27"/>
    <w:rsid w:val="00226A6B"/>
    <w:rsid w:val="00226AB3"/>
    <w:rsid w:val="00226CAD"/>
    <w:rsid w:val="00226D8C"/>
    <w:rsid w:val="00227032"/>
    <w:rsid w:val="00227226"/>
    <w:rsid w:val="00227259"/>
    <w:rsid w:val="00227394"/>
    <w:rsid w:val="002273D5"/>
    <w:rsid w:val="002273F3"/>
    <w:rsid w:val="0022756F"/>
    <w:rsid w:val="002275CF"/>
    <w:rsid w:val="002276A4"/>
    <w:rsid w:val="00227D1B"/>
    <w:rsid w:val="00227E1B"/>
    <w:rsid w:val="00230003"/>
    <w:rsid w:val="00230045"/>
    <w:rsid w:val="002301A9"/>
    <w:rsid w:val="00230319"/>
    <w:rsid w:val="002304E4"/>
    <w:rsid w:val="002305FC"/>
    <w:rsid w:val="002307B5"/>
    <w:rsid w:val="00230AC5"/>
    <w:rsid w:val="002310D7"/>
    <w:rsid w:val="002313CA"/>
    <w:rsid w:val="002314DA"/>
    <w:rsid w:val="00231503"/>
    <w:rsid w:val="00231674"/>
    <w:rsid w:val="00231686"/>
    <w:rsid w:val="002316FE"/>
    <w:rsid w:val="00231FBD"/>
    <w:rsid w:val="00232046"/>
    <w:rsid w:val="00232076"/>
    <w:rsid w:val="00232094"/>
    <w:rsid w:val="00232239"/>
    <w:rsid w:val="00232338"/>
    <w:rsid w:val="0023242F"/>
    <w:rsid w:val="002325EA"/>
    <w:rsid w:val="00232632"/>
    <w:rsid w:val="00232BE2"/>
    <w:rsid w:val="00232E68"/>
    <w:rsid w:val="002330E5"/>
    <w:rsid w:val="002333D8"/>
    <w:rsid w:val="002333DB"/>
    <w:rsid w:val="002336DE"/>
    <w:rsid w:val="002338E4"/>
    <w:rsid w:val="00233C22"/>
    <w:rsid w:val="00233C71"/>
    <w:rsid w:val="00233CC8"/>
    <w:rsid w:val="00234022"/>
    <w:rsid w:val="002340A2"/>
    <w:rsid w:val="0023470D"/>
    <w:rsid w:val="002347AD"/>
    <w:rsid w:val="0023485F"/>
    <w:rsid w:val="00234C74"/>
    <w:rsid w:val="00234E35"/>
    <w:rsid w:val="00234EFF"/>
    <w:rsid w:val="00234F97"/>
    <w:rsid w:val="00234FC4"/>
    <w:rsid w:val="0023500C"/>
    <w:rsid w:val="0023509E"/>
    <w:rsid w:val="00235181"/>
    <w:rsid w:val="00235281"/>
    <w:rsid w:val="00235391"/>
    <w:rsid w:val="0023539B"/>
    <w:rsid w:val="002354AA"/>
    <w:rsid w:val="002354FD"/>
    <w:rsid w:val="00235565"/>
    <w:rsid w:val="002356B6"/>
    <w:rsid w:val="002356CC"/>
    <w:rsid w:val="00235721"/>
    <w:rsid w:val="00235D58"/>
    <w:rsid w:val="00235DAC"/>
    <w:rsid w:val="00235E02"/>
    <w:rsid w:val="00236160"/>
    <w:rsid w:val="002363A1"/>
    <w:rsid w:val="002363DA"/>
    <w:rsid w:val="00236483"/>
    <w:rsid w:val="002364DB"/>
    <w:rsid w:val="00236575"/>
    <w:rsid w:val="0023657F"/>
    <w:rsid w:val="0023668F"/>
    <w:rsid w:val="00236698"/>
    <w:rsid w:val="002367D6"/>
    <w:rsid w:val="002368B9"/>
    <w:rsid w:val="00236932"/>
    <w:rsid w:val="00236A62"/>
    <w:rsid w:val="00236B3A"/>
    <w:rsid w:val="00236EAB"/>
    <w:rsid w:val="00236EDA"/>
    <w:rsid w:val="00237107"/>
    <w:rsid w:val="002372A4"/>
    <w:rsid w:val="002375A9"/>
    <w:rsid w:val="0023786F"/>
    <w:rsid w:val="002378AF"/>
    <w:rsid w:val="002378F4"/>
    <w:rsid w:val="00237962"/>
    <w:rsid w:val="00237B35"/>
    <w:rsid w:val="00237B36"/>
    <w:rsid w:val="00237C7B"/>
    <w:rsid w:val="00237DC9"/>
    <w:rsid w:val="00237DD9"/>
    <w:rsid w:val="00237E44"/>
    <w:rsid w:val="00237FCE"/>
    <w:rsid w:val="00237FEB"/>
    <w:rsid w:val="00240155"/>
    <w:rsid w:val="002401C8"/>
    <w:rsid w:val="002402CC"/>
    <w:rsid w:val="0024037B"/>
    <w:rsid w:val="002403B1"/>
    <w:rsid w:val="002403E7"/>
    <w:rsid w:val="00240433"/>
    <w:rsid w:val="002405AE"/>
    <w:rsid w:val="00240ABF"/>
    <w:rsid w:val="00240B52"/>
    <w:rsid w:val="00240B69"/>
    <w:rsid w:val="00240BCE"/>
    <w:rsid w:val="00240D50"/>
    <w:rsid w:val="00240D79"/>
    <w:rsid w:val="002410CF"/>
    <w:rsid w:val="0024121B"/>
    <w:rsid w:val="0024126D"/>
    <w:rsid w:val="00241292"/>
    <w:rsid w:val="002415D7"/>
    <w:rsid w:val="0024164C"/>
    <w:rsid w:val="002416CB"/>
    <w:rsid w:val="00241927"/>
    <w:rsid w:val="0024194C"/>
    <w:rsid w:val="002419C1"/>
    <w:rsid w:val="00241ABC"/>
    <w:rsid w:val="00241CBA"/>
    <w:rsid w:val="00241D26"/>
    <w:rsid w:val="00241E56"/>
    <w:rsid w:val="00241E76"/>
    <w:rsid w:val="00241F3C"/>
    <w:rsid w:val="0024213A"/>
    <w:rsid w:val="00242149"/>
    <w:rsid w:val="00242382"/>
    <w:rsid w:val="00242413"/>
    <w:rsid w:val="002425A1"/>
    <w:rsid w:val="00242635"/>
    <w:rsid w:val="00242793"/>
    <w:rsid w:val="0024286E"/>
    <w:rsid w:val="002428B7"/>
    <w:rsid w:val="00242D96"/>
    <w:rsid w:val="00242E4B"/>
    <w:rsid w:val="00243085"/>
    <w:rsid w:val="0024313E"/>
    <w:rsid w:val="0024315C"/>
    <w:rsid w:val="00243499"/>
    <w:rsid w:val="002434C4"/>
    <w:rsid w:val="00243579"/>
    <w:rsid w:val="0024370A"/>
    <w:rsid w:val="002439B7"/>
    <w:rsid w:val="00243DDD"/>
    <w:rsid w:val="00243E7B"/>
    <w:rsid w:val="002441CE"/>
    <w:rsid w:val="002443B1"/>
    <w:rsid w:val="00244643"/>
    <w:rsid w:val="002446D2"/>
    <w:rsid w:val="0024475A"/>
    <w:rsid w:val="002447F1"/>
    <w:rsid w:val="00244A9A"/>
    <w:rsid w:val="00245023"/>
    <w:rsid w:val="002451EC"/>
    <w:rsid w:val="00245206"/>
    <w:rsid w:val="002452B3"/>
    <w:rsid w:val="00245345"/>
    <w:rsid w:val="002453CB"/>
    <w:rsid w:val="00245699"/>
    <w:rsid w:val="002456C5"/>
    <w:rsid w:val="00245804"/>
    <w:rsid w:val="002458DC"/>
    <w:rsid w:val="00245BFF"/>
    <w:rsid w:val="00245DF2"/>
    <w:rsid w:val="00246002"/>
    <w:rsid w:val="00246018"/>
    <w:rsid w:val="002462F8"/>
    <w:rsid w:val="002466B2"/>
    <w:rsid w:val="002466E7"/>
    <w:rsid w:val="002466F2"/>
    <w:rsid w:val="0024675C"/>
    <w:rsid w:val="0024693D"/>
    <w:rsid w:val="00246976"/>
    <w:rsid w:val="00246A7D"/>
    <w:rsid w:val="00246B0F"/>
    <w:rsid w:val="00246C89"/>
    <w:rsid w:val="0024714B"/>
    <w:rsid w:val="002473CC"/>
    <w:rsid w:val="002474BC"/>
    <w:rsid w:val="002474C8"/>
    <w:rsid w:val="00247537"/>
    <w:rsid w:val="0024753E"/>
    <w:rsid w:val="00247571"/>
    <w:rsid w:val="00247960"/>
    <w:rsid w:val="0024796C"/>
    <w:rsid w:val="002479C7"/>
    <w:rsid w:val="002479E0"/>
    <w:rsid w:val="00247A67"/>
    <w:rsid w:val="00247AF2"/>
    <w:rsid w:val="00247B86"/>
    <w:rsid w:val="00247E45"/>
    <w:rsid w:val="00247E72"/>
    <w:rsid w:val="0024A585"/>
    <w:rsid w:val="002500A6"/>
    <w:rsid w:val="002501F6"/>
    <w:rsid w:val="00250258"/>
    <w:rsid w:val="002507BE"/>
    <w:rsid w:val="00250979"/>
    <w:rsid w:val="00250E15"/>
    <w:rsid w:val="00250E64"/>
    <w:rsid w:val="00250E8B"/>
    <w:rsid w:val="0025106F"/>
    <w:rsid w:val="00251307"/>
    <w:rsid w:val="002515E2"/>
    <w:rsid w:val="002515FA"/>
    <w:rsid w:val="00251822"/>
    <w:rsid w:val="00251838"/>
    <w:rsid w:val="0025190F"/>
    <w:rsid w:val="00251981"/>
    <w:rsid w:val="00251CE9"/>
    <w:rsid w:val="0025213F"/>
    <w:rsid w:val="002521C9"/>
    <w:rsid w:val="00252300"/>
    <w:rsid w:val="002524A5"/>
    <w:rsid w:val="00252948"/>
    <w:rsid w:val="00252AFA"/>
    <w:rsid w:val="00252C59"/>
    <w:rsid w:val="00252DF2"/>
    <w:rsid w:val="00252ECB"/>
    <w:rsid w:val="00252F7A"/>
    <w:rsid w:val="00252FF2"/>
    <w:rsid w:val="002530DC"/>
    <w:rsid w:val="00253149"/>
    <w:rsid w:val="0025323B"/>
    <w:rsid w:val="00253566"/>
    <w:rsid w:val="00253599"/>
    <w:rsid w:val="002535E0"/>
    <w:rsid w:val="002535FD"/>
    <w:rsid w:val="002536F1"/>
    <w:rsid w:val="00253742"/>
    <w:rsid w:val="002537B9"/>
    <w:rsid w:val="00253D07"/>
    <w:rsid w:val="00253D57"/>
    <w:rsid w:val="00253E10"/>
    <w:rsid w:val="00253E68"/>
    <w:rsid w:val="00253EEE"/>
    <w:rsid w:val="00253F29"/>
    <w:rsid w:val="00253F5C"/>
    <w:rsid w:val="00253FCE"/>
    <w:rsid w:val="00254054"/>
    <w:rsid w:val="00254140"/>
    <w:rsid w:val="0025456D"/>
    <w:rsid w:val="002546F0"/>
    <w:rsid w:val="0025472E"/>
    <w:rsid w:val="00254901"/>
    <w:rsid w:val="0025491B"/>
    <w:rsid w:val="00254AD7"/>
    <w:rsid w:val="00254BDF"/>
    <w:rsid w:val="00254C19"/>
    <w:rsid w:val="00254E3F"/>
    <w:rsid w:val="00254E9E"/>
    <w:rsid w:val="00254F55"/>
    <w:rsid w:val="002554BE"/>
    <w:rsid w:val="002556E5"/>
    <w:rsid w:val="002559E7"/>
    <w:rsid w:val="00255A71"/>
    <w:rsid w:val="00255A74"/>
    <w:rsid w:val="00255B63"/>
    <w:rsid w:val="00255BE1"/>
    <w:rsid w:val="00255C26"/>
    <w:rsid w:val="00255CD6"/>
    <w:rsid w:val="00255CE2"/>
    <w:rsid w:val="00255E1F"/>
    <w:rsid w:val="00255F91"/>
    <w:rsid w:val="00255FEF"/>
    <w:rsid w:val="002560C0"/>
    <w:rsid w:val="002562C3"/>
    <w:rsid w:val="002563A7"/>
    <w:rsid w:val="002564B1"/>
    <w:rsid w:val="00256692"/>
    <w:rsid w:val="002567D2"/>
    <w:rsid w:val="00256947"/>
    <w:rsid w:val="00256A15"/>
    <w:rsid w:val="00256C6B"/>
    <w:rsid w:val="00256FC5"/>
    <w:rsid w:val="0025717C"/>
    <w:rsid w:val="00257445"/>
    <w:rsid w:val="00257487"/>
    <w:rsid w:val="00257821"/>
    <w:rsid w:val="002578A2"/>
    <w:rsid w:val="002578C4"/>
    <w:rsid w:val="002579FB"/>
    <w:rsid w:val="00257F2A"/>
    <w:rsid w:val="00260072"/>
    <w:rsid w:val="002604F9"/>
    <w:rsid w:val="0026059B"/>
    <w:rsid w:val="002606DC"/>
    <w:rsid w:val="00260734"/>
    <w:rsid w:val="002608D9"/>
    <w:rsid w:val="00260A2B"/>
    <w:rsid w:val="00260B56"/>
    <w:rsid w:val="00260BC5"/>
    <w:rsid w:val="00260CE4"/>
    <w:rsid w:val="00261159"/>
    <w:rsid w:val="00261340"/>
    <w:rsid w:val="00261421"/>
    <w:rsid w:val="002614C6"/>
    <w:rsid w:val="0026154E"/>
    <w:rsid w:val="0026156A"/>
    <w:rsid w:val="00261701"/>
    <w:rsid w:val="00261728"/>
    <w:rsid w:val="002617A6"/>
    <w:rsid w:val="00261B19"/>
    <w:rsid w:val="00261B5E"/>
    <w:rsid w:val="00261D3F"/>
    <w:rsid w:val="00261EA8"/>
    <w:rsid w:val="00261EC8"/>
    <w:rsid w:val="00261ECD"/>
    <w:rsid w:val="002620F0"/>
    <w:rsid w:val="00262292"/>
    <w:rsid w:val="00262370"/>
    <w:rsid w:val="00262437"/>
    <w:rsid w:val="0026283F"/>
    <w:rsid w:val="002628BB"/>
    <w:rsid w:val="00262957"/>
    <w:rsid w:val="002630B2"/>
    <w:rsid w:val="00263161"/>
    <w:rsid w:val="00263229"/>
    <w:rsid w:val="002634DD"/>
    <w:rsid w:val="002634E1"/>
    <w:rsid w:val="0026351E"/>
    <w:rsid w:val="002636BA"/>
    <w:rsid w:val="002637D3"/>
    <w:rsid w:val="00263C07"/>
    <w:rsid w:val="00263D4E"/>
    <w:rsid w:val="0026404D"/>
    <w:rsid w:val="002641B2"/>
    <w:rsid w:val="0026424D"/>
    <w:rsid w:val="002645B0"/>
    <w:rsid w:val="002646E3"/>
    <w:rsid w:val="002648C1"/>
    <w:rsid w:val="002649B5"/>
    <w:rsid w:val="00264F77"/>
    <w:rsid w:val="00265159"/>
    <w:rsid w:val="00265227"/>
    <w:rsid w:val="0026526C"/>
    <w:rsid w:val="0026577C"/>
    <w:rsid w:val="002657A6"/>
    <w:rsid w:val="00265A3A"/>
    <w:rsid w:val="00265B32"/>
    <w:rsid w:val="00265C12"/>
    <w:rsid w:val="00265DE6"/>
    <w:rsid w:val="00265E1E"/>
    <w:rsid w:val="00265FB6"/>
    <w:rsid w:val="00265FDF"/>
    <w:rsid w:val="0026612A"/>
    <w:rsid w:val="00266218"/>
    <w:rsid w:val="0026637D"/>
    <w:rsid w:val="0026652B"/>
    <w:rsid w:val="0026682F"/>
    <w:rsid w:val="00266960"/>
    <w:rsid w:val="00266AA3"/>
    <w:rsid w:val="00266B61"/>
    <w:rsid w:val="00266BBD"/>
    <w:rsid w:val="00266C9B"/>
    <w:rsid w:val="00266E45"/>
    <w:rsid w:val="002671E7"/>
    <w:rsid w:val="0026770C"/>
    <w:rsid w:val="00267761"/>
    <w:rsid w:val="0026776D"/>
    <w:rsid w:val="00267CD1"/>
    <w:rsid w:val="00267CEF"/>
    <w:rsid w:val="002701BC"/>
    <w:rsid w:val="002701D3"/>
    <w:rsid w:val="002702B7"/>
    <w:rsid w:val="002705EB"/>
    <w:rsid w:val="002705EC"/>
    <w:rsid w:val="00270703"/>
    <w:rsid w:val="002709A3"/>
    <w:rsid w:val="00270A08"/>
    <w:rsid w:val="00270E01"/>
    <w:rsid w:val="00270E0D"/>
    <w:rsid w:val="002711FB"/>
    <w:rsid w:val="00271232"/>
    <w:rsid w:val="00271303"/>
    <w:rsid w:val="00271437"/>
    <w:rsid w:val="002714F4"/>
    <w:rsid w:val="00271639"/>
    <w:rsid w:val="00271780"/>
    <w:rsid w:val="002718D7"/>
    <w:rsid w:val="002719B7"/>
    <w:rsid w:val="002719DC"/>
    <w:rsid w:val="00271B7B"/>
    <w:rsid w:val="00271EAB"/>
    <w:rsid w:val="00271EE2"/>
    <w:rsid w:val="0027206B"/>
    <w:rsid w:val="00272135"/>
    <w:rsid w:val="002724F9"/>
    <w:rsid w:val="00272509"/>
    <w:rsid w:val="00272682"/>
    <w:rsid w:val="002726D3"/>
    <w:rsid w:val="00272736"/>
    <w:rsid w:val="00272753"/>
    <w:rsid w:val="00272804"/>
    <w:rsid w:val="00272823"/>
    <w:rsid w:val="00272995"/>
    <w:rsid w:val="00272A30"/>
    <w:rsid w:val="00272BA6"/>
    <w:rsid w:val="002730F2"/>
    <w:rsid w:val="002732EB"/>
    <w:rsid w:val="00273382"/>
    <w:rsid w:val="00273684"/>
    <w:rsid w:val="002737FE"/>
    <w:rsid w:val="00273840"/>
    <w:rsid w:val="00273A1D"/>
    <w:rsid w:val="00273C85"/>
    <w:rsid w:val="00273C8E"/>
    <w:rsid w:val="00274074"/>
    <w:rsid w:val="00274319"/>
    <w:rsid w:val="002743A0"/>
    <w:rsid w:val="002743DA"/>
    <w:rsid w:val="00274531"/>
    <w:rsid w:val="002745FE"/>
    <w:rsid w:val="002746DC"/>
    <w:rsid w:val="00274996"/>
    <w:rsid w:val="00274A98"/>
    <w:rsid w:val="00274C2C"/>
    <w:rsid w:val="00274D6F"/>
    <w:rsid w:val="00275093"/>
    <w:rsid w:val="0027510A"/>
    <w:rsid w:val="00275374"/>
    <w:rsid w:val="0027562F"/>
    <w:rsid w:val="0027576B"/>
    <w:rsid w:val="002758F3"/>
    <w:rsid w:val="00275A2D"/>
    <w:rsid w:val="00275B37"/>
    <w:rsid w:val="00275C24"/>
    <w:rsid w:val="00275C67"/>
    <w:rsid w:val="00275D16"/>
    <w:rsid w:val="00275EA0"/>
    <w:rsid w:val="00275F45"/>
    <w:rsid w:val="00275F6B"/>
    <w:rsid w:val="00275FF0"/>
    <w:rsid w:val="00276197"/>
    <w:rsid w:val="0027635D"/>
    <w:rsid w:val="002765A4"/>
    <w:rsid w:val="0027660A"/>
    <w:rsid w:val="00276937"/>
    <w:rsid w:val="00276A02"/>
    <w:rsid w:val="00276A91"/>
    <w:rsid w:val="00276B9A"/>
    <w:rsid w:val="00276CF3"/>
    <w:rsid w:val="00276EE2"/>
    <w:rsid w:val="00276FCB"/>
    <w:rsid w:val="00276FEE"/>
    <w:rsid w:val="00277059"/>
    <w:rsid w:val="00277091"/>
    <w:rsid w:val="002774C1"/>
    <w:rsid w:val="00277661"/>
    <w:rsid w:val="002778EB"/>
    <w:rsid w:val="00277C38"/>
    <w:rsid w:val="00277DEC"/>
    <w:rsid w:val="00277ED7"/>
    <w:rsid w:val="0028009C"/>
    <w:rsid w:val="002801E7"/>
    <w:rsid w:val="0028020D"/>
    <w:rsid w:val="002802BB"/>
    <w:rsid w:val="002802D3"/>
    <w:rsid w:val="002806E2"/>
    <w:rsid w:val="00280715"/>
    <w:rsid w:val="00280751"/>
    <w:rsid w:val="00280ACE"/>
    <w:rsid w:val="002811AF"/>
    <w:rsid w:val="0028128A"/>
    <w:rsid w:val="00281502"/>
    <w:rsid w:val="0028164E"/>
    <w:rsid w:val="002817D2"/>
    <w:rsid w:val="0028184A"/>
    <w:rsid w:val="0028189D"/>
    <w:rsid w:val="002819F5"/>
    <w:rsid w:val="00281B00"/>
    <w:rsid w:val="00281B72"/>
    <w:rsid w:val="00281CC8"/>
    <w:rsid w:val="00281D7D"/>
    <w:rsid w:val="00281E07"/>
    <w:rsid w:val="00281F46"/>
    <w:rsid w:val="00281F5E"/>
    <w:rsid w:val="002824D4"/>
    <w:rsid w:val="0028266C"/>
    <w:rsid w:val="0028267E"/>
    <w:rsid w:val="00282684"/>
    <w:rsid w:val="002826EC"/>
    <w:rsid w:val="0028298F"/>
    <w:rsid w:val="00282B2A"/>
    <w:rsid w:val="00282C28"/>
    <w:rsid w:val="00282C32"/>
    <w:rsid w:val="00282CF0"/>
    <w:rsid w:val="00283042"/>
    <w:rsid w:val="002830C3"/>
    <w:rsid w:val="002831CA"/>
    <w:rsid w:val="0028353F"/>
    <w:rsid w:val="0028368E"/>
    <w:rsid w:val="00283742"/>
    <w:rsid w:val="00283B12"/>
    <w:rsid w:val="00283B70"/>
    <w:rsid w:val="00284043"/>
    <w:rsid w:val="0028407B"/>
    <w:rsid w:val="002840B3"/>
    <w:rsid w:val="0028418A"/>
    <w:rsid w:val="00284361"/>
    <w:rsid w:val="002843F0"/>
    <w:rsid w:val="002845EE"/>
    <w:rsid w:val="00284826"/>
    <w:rsid w:val="00284A06"/>
    <w:rsid w:val="00284B7D"/>
    <w:rsid w:val="00284C79"/>
    <w:rsid w:val="00284D33"/>
    <w:rsid w:val="00284EA0"/>
    <w:rsid w:val="002850B4"/>
    <w:rsid w:val="002852A4"/>
    <w:rsid w:val="00285553"/>
    <w:rsid w:val="00285614"/>
    <w:rsid w:val="0028576D"/>
    <w:rsid w:val="002857EB"/>
    <w:rsid w:val="0028598E"/>
    <w:rsid w:val="00285B03"/>
    <w:rsid w:val="00285BD8"/>
    <w:rsid w:val="00285CF2"/>
    <w:rsid w:val="00285D0C"/>
    <w:rsid w:val="00285DC1"/>
    <w:rsid w:val="002860C8"/>
    <w:rsid w:val="002860EB"/>
    <w:rsid w:val="002860F7"/>
    <w:rsid w:val="002862F9"/>
    <w:rsid w:val="00286359"/>
    <w:rsid w:val="0028674A"/>
    <w:rsid w:val="002867AE"/>
    <w:rsid w:val="00286E52"/>
    <w:rsid w:val="002870FB"/>
    <w:rsid w:val="002871AD"/>
    <w:rsid w:val="00287246"/>
    <w:rsid w:val="0028736F"/>
    <w:rsid w:val="002873AB"/>
    <w:rsid w:val="0028746D"/>
    <w:rsid w:val="00287627"/>
    <w:rsid w:val="00287727"/>
    <w:rsid w:val="00287A16"/>
    <w:rsid w:val="00287BAA"/>
    <w:rsid w:val="00287CBA"/>
    <w:rsid w:val="00287DE8"/>
    <w:rsid w:val="00287F56"/>
    <w:rsid w:val="00290570"/>
    <w:rsid w:val="002907B1"/>
    <w:rsid w:val="0029083F"/>
    <w:rsid w:val="00290875"/>
    <w:rsid w:val="00290AC5"/>
    <w:rsid w:val="00290B0E"/>
    <w:rsid w:val="0029109D"/>
    <w:rsid w:val="002910A8"/>
    <w:rsid w:val="00291276"/>
    <w:rsid w:val="002912DF"/>
    <w:rsid w:val="0029136C"/>
    <w:rsid w:val="002913BE"/>
    <w:rsid w:val="002913D3"/>
    <w:rsid w:val="002915A8"/>
    <w:rsid w:val="002919EE"/>
    <w:rsid w:val="00291A07"/>
    <w:rsid w:val="00291CEF"/>
    <w:rsid w:val="00291D8E"/>
    <w:rsid w:val="00291E10"/>
    <w:rsid w:val="00291E6F"/>
    <w:rsid w:val="00291F8C"/>
    <w:rsid w:val="002920EB"/>
    <w:rsid w:val="00292194"/>
    <w:rsid w:val="002921C2"/>
    <w:rsid w:val="00292230"/>
    <w:rsid w:val="002922E4"/>
    <w:rsid w:val="00292370"/>
    <w:rsid w:val="002925BA"/>
    <w:rsid w:val="002926B1"/>
    <w:rsid w:val="002927B3"/>
    <w:rsid w:val="0029288F"/>
    <w:rsid w:val="0029292D"/>
    <w:rsid w:val="00292A32"/>
    <w:rsid w:val="00292DE2"/>
    <w:rsid w:val="00292ED0"/>
    <w:rsid w:val="00293121"/>
    <w:rsid w:val="00293298"/>
    <w:rsid w:val="002932EC"/>
    <w:rsid w:val="00293445"/>
    <w:rsid w:val="00293597"/>
    <w:rsid w:val="00293AB3"/>
    <w:rsid w:val="00293B17"/>
    <w:rsid w:val="00293B36"/>
    <w:rsid w:val="00293BA1"/>
    <w:rsid w:val="00293D3A"/>
    <w:rsid w:val="00293EC5"/>
    <w:rsid w:val="0029407F"/>
    <w:rsid w:val="00294095"/>
    <w:rsid w:val="0029413B"/>
    <w:rsid w:val="0029422C"/>
    <w:rsid w:val="00294389"/>
    <w:rsid w:val="00294414"/>
    <w:rsid w:val="0029465C"/>
    <w:rsid w:val="002946EC"/>
    <w:rsid w:val="00294734"/>
    <w:rsid w:val="002947AC"/>
    <w:rsid w:val="00294863"/>
    <w:rsid w:val="00294A29"/>
    <w:rsid w:val="00294B6B"/>
    <w:rsid w:val="00294B7E"/>
    <w:rsid w:val="00294DCE"/>
    <w:rsid w:val="00294E71"/>
    <w:rsid w:val="00294FAA"/>
    <w:rsid w:val="0029516E"/>
    <w:rsid w:val="0029550A"/>
    <w:rsid w:val="002958FA"/>
    <w:rsid w:val="00295B8C"/>
    <w:rsid w:val="00295CF7"/>
    <w:rsid w:val="00295DCB"/>
    <w:rsid w:val="00296050"/>
    <w:rsid w:val="002961FC"/>
    <w:rsid w:val="002962DB"/>
    <w:rsid w:val="0029640D"/>
    <w:rsid w:val="00296418"/>
    <w:rsid w:val="00296568"/>
    <w:rsid w:val="00296578"/>
    <w:rsid w:val="002965B5"/>
    <w:rsid w:val="002965C7"/>
    <w:rsid w:val="00296898"/>
    <w:rsid w:val="002969D1"/>
    <w:rsid w:val="00296C19"/>
    <w:rsid w:val="00296C2B"/>
    <w:rsid w:val="00296F00"/>
    <w:rsid w:val="00297012"/>
    <w:rsid w:val="002975D6"/>
    <w:rsid w:val="0029778F"/>
    <w:rsid w:val="002977A9"/>
    <w:rsid w:val="00297C41"/>
    <w:rsid w:val="00297C67"/>
    <w:rsid w:val="00297E6A"/>
    <w:rsid w:val="002A01DE"/>
    <w:rsid w:val="002A0280"/>
    <w:rsid w:val="002A02A8"/>
    <w:rsid w:val="002A0473"/>
    <w:rsid w:val="002A047E"/>
    <w:rsid w:val="002A0A2F"/>
    <w:rsid w:val="002A0E02"/>
    <w:rsid w:val="002A1134"/>
    <w:rsid w:val="002A133D"/>
    <w:rsid w:val="002A136F"/>
    <w:rsid w:val="002A15FD"/>
    <w:rsid w:val="002A172B"/>
    <w:rsid w:val="002A1885"/>
    <w:rsid w:val="002A1A38"/>
    <w:rsid w:val="002A1B5C"/>
    <w:rsid w:val="002A1C88"/>
    <w:rsid w:val="002A22C3"/>
    <w:rsid w:val="002A2317"/>
    <w:rsid w:val="002A24F7"/>
    <w:rsid w:val="002A2540"/>
    <w:rsid w:val="002A2632"/>
    <w:rsid w:val="002A26BA"/>
    <w:rsid w:val="002A2743"/>
    <w:rsid w:val="002A2C8F"/>
    <w:rsid w:val="002A2F82"/>
    <w:rsid w:val="002A2F83"/>
    <w:rsid w:val="002A306C"/>
    <w:rsid w:val="002A31EB"/>
    <w:rsid w:val="002A3208"/>
    <w:rsid w:val="002A3302"/>
    <w:rsid w:val="002A36A2"/>
    <w:rsid w:val="002A4128"/>
    <w:rsid w:val="002A44E0"/>
    <w:rsid w:val="002A45E5"/>
    <w:rsid w:val="002A46EF"/>
    <w:rsid w:val="002A4765"/>
    <w:rsid w:val="002A4866"/>
    <w:rsid w:val="002A4905"/>
    <w:rsid w:val="002A492E"/>
    <w:rsid w:val="002A5363"/>
    <w:rsid w:val="002A5452"/>
    <w:rsid w:val="002A57A0"/>
    <w:rsid w:val="002A57BC"/>
    <w:rsid w:val="002A5929"/>
    <w:rsid w:val="002A5A0E"/>
    <w:rsid w:val="002A5BC3"/>
    <w:rsid w:val="002A5EF2"/>
    <w:rsid w:val="002A5F07"/>
    <w:rsid w:val="002A5FDD"/>
    <w:rsid w:val="002A603E"/>
    <w:rsid w:val="002A60AE"/>
    <w:rsid w:val="002A60F9"/>
    <w:rsid w:val="002A649D"/>
    <w:rsid w:val="002A65B2"/>
    <w:rsid w:val="002A6613"/>
    <w:rsid w:val="002A66B2"/>
    <w:rsid w:val="002A679D"/>
    <w:rsid w:val="002A694F"/>
    <w:rsid w:val="002A6984"/>
    <w:rsid w:val="002A69C7"/>
    <w:rsid w:val="002A6A4D"/>
    <w:rsid w:val="002A6B2E"/>
    <w:rsid w:val="002A6C85"/>
    <w:rsid w:val="002A6D97"/>
    <w:rsid w:val="002A6DB2"/>
    <w:rsid w:val="002A736D"/>
    <w:rsid w:val="002A75AA"/>
    <w:rsid w:val="002A760A"/>
    <w:rsid w:val="002A7782"/>
    <w:rsid w:val="002A77F1"/>
    <w:rsid w:val="002A782E"/>
    <w:rsid w:val="002A7888"/>
    <w:rsid w:val="002A7A70"/>
    <w:rsid w:val="002A7AE2"/>
    <w:rsid w:val="002A7DFD"/>
    <w:rsid w:val="002A7EC9"/>
    <w:rsid w:val="002A9A04"/>
    <w:rsid w:val="002B01AA"/>
    <w:rsid w:val="002B02AF"/>
    <w:rsid w:val="002B02EC"/>
    <w:rsid w:val="002B0300"/>
    <w:rsid w:val="002B0654"/>
    <w:rsid w:val="002B076B"/>
    <w:rsid w:val="002B0825"/>
    <w:rsid w:val="002B0A15"/>
    <w:rsid w:val="002B0AD2"/>
    <w:rsid w:val="002B0B3A"/>
    <w:rsid w:val="002B0E01"/>
    <w:rsid w:val="002B1099"/>
    <w:rsid w:val="002B109C"/>
    <w:rsid w:val="002B10A1"/>
    <w:rsid w:val="002B10E9"/>
    <w:rsid w:val="002B1227"/>
    <w:rsid w:val="002B1414"/>
    <w:rsid w:val="002B1527"/>
    <w:rsid w:val="002B1893"/>
    <w:rsid w:val="002B1A03"/>
    <w:rsid w:val="002B1A96"/>
    <w:rsid w:val="002B1AD7"/>
    <w:rsid w:val="002B1BD0"/>
    <w:rsid w:val="002B1E88"/>
    <w:rsid w:val="002B1F29"/>
    <w:rsid w:val="002B219D"/>
    <w:rsid w:val="002B21DA"/>
    <w:rsid w:val="002B224C"/>
    <w:rsid w:val="002B22FB"/>
    <w:rsid w:val="002B2470"/>
    <w:rsid w:val="002B28B6"/>
    <w:rsid w:val="002B28D0"/>
    <w:rsid w:val="002B29F5"/>
    <w:rsid w:val="002B2A63"/>
    <w:rsid w:val="002B2B2F"/>
    <w:rsid w:val="002B2E8E"/>
    <w:rsid w:val="002B3024"/>
    <w:rsid w:val="002B333F"/>
    <w:rsid w:val="002B349B"/>
    <w:rsid w:val="002B35D1"/>
    <w:rsid w:val="002B3614"/>
    <w:rsid w:val="002B368F"/>
    <w:rsid w:val="002B385F"/>
    <w:rsid w:val="002B3867"/>
    <w:rsid w:val="002B3939"/>
    <w:rsid w:val="002B3ABF"/>
    <w:rsid w:val="002B3B7F"/>
    <w:rsid w:val="002B40A9"/>
    <w:rsid w:val="002B421E"/>
    <w:rsid w:val="002B4277"/>
    <w:rsid w:val="002B42E1"/>
    <w:rsid w:val="002B45DB"/>
    <w:rsid w:val="002B463C"/>
    <w:rsid w:val="002B4A83"/>
    <w:rsid w:val="002B4B7E"/>
    <w:rsid w:val="002B4BCC"/>
    <w:rsid w:val="002B4DBA"/>
    <w:rsid w:val="002B4DCD"/>
    <w:rsid w:val="002B50C4"/>
    <w:rsid w:val="002B51F6"/>
    <w:rsid w:val="002B5317"/>
    <w:rsid w:val="002B5373"/>
    <w:rsid w:val="002B55F6"/>
    <w:rsid w:val="002B577A"/>
    <w:rsid w:val="002B57A6"/>
    <w:rsid w:val="002B58C2"/>
    <w:rsid w:val="002B5AF7"/>
    <w:rsid w:val="002B5BFB"/>
    <w:rsid w:val="002B5C43"/>
    <w:rsid w:val="002B5D0E"/>
    <w:rsid w:val="002B60F3"/>
    <w:rsid w:val="002B624B"/>
    <w:rsid w:val="002B62AF"/>
    <w:rsid w:val="002B66F0"/>
    <w:rsid w:val="002B67C0"/>
    <w:rsid w:val="002B6846"/>
    <w:rsid w:val="002B692A"/>
    <w:rsid w:val="002B6985"/>
    <w:rsid w:val="002B6B46"/>
    <w:rsid w:val="002B6C99"/>
    <w:rsid w:val="002B6E69"/>
    <w:rsid w:val="002B6F42"/>
    <w:rsid w:val="002B6F79"/>
    <w:rsid w:val="002B6F96"/>
    <w:rsid w:val="002B716A"/>
    <w:rsid w:val="002B7359"/>
    <w:rsid w:val="002B73D8"/>
    <w:rsid w:val="002B74F7"/>
    <w:rsid w:val="002B7524"/>
    <w:rsid w:val="002B7613"/>
    <w:rsid w:val="002B7779"/>
    <w:rsid w:val="002B789D"/>
    <w:rsid w:val="002B7A46"/>
    <w:rsid w:val="002B7B81"/>
    <w:rsid w:val="002B7DA5"/>
    <w:rsid w:val="002B7DFB"/>
    <w:rsid w:val="002B7E20"/>
    <w:rsid w:val="002B7E50"/>
    <w:rsid w:val="002B7E6E"/>
    <w:rsid w:val="002C0157"/>
    <w:rsid w:val="002C0340"/>
    <w:rsid w:val="002C052C"/>
    <w:rsid w:val="002C05DC"/>
    <w:rsid w:val="002C06B7"/>
    <w:rsid w:val="002C074D"/>
    <w:rsid w:val="002C0798"/>
    <w:rsid w:val="002C0877"/>
    <w:rsid w:val="002C0A3C"/>
    <w:rsid w:val="002C0B2C"/>
    <w:rsid w:val="002C0C27"/>
    <w:rsid w:val="002C0C56"/>
    <w:rsid w:val="002C0DBD"/>
    <w:rsid w:val="002C0E38"/>
    <w:rsid w:val="002C0F28"/>
    <w:rsid w:val="002C13E6"/>
    <w:rsid w:val="002C13F4"/>
    <w:rsid w:val="002C1735"/>
    <w:rsid w:val="002C176A"/>
    <w:rsid w:val="002C190F"/>
    <w:rsid w:val="002C19E9"/>
    <w:rsid w:val="002C1B99"/>
    <w:rsid w:val="002C1C21"/>
    <w:rsid w:val="002C1C3A"/>
    <w:rsid w:val="002C1F66"/>
    <w:rsid w:val="002C2227"/>
    <w:rsid w:val="002C228F"/>
    <w:rsid w:val="002C22F5"/>
    <w:rsid w:val="002C2313"/>
    <w:rsid w:val="002C236C"/>
    <w:rsid w:val="002C25FD"/>
    <w:rsid w:val="002C265E"/>
    <w:rsid w:val="002C2759"/>
    <w:rsid w:val="002C27E9"/>
    <w:rsid w:val="002C285A"/>
    <w:rsid w:val="002C2932"/>
    <w:rsid w:val="002C294D"/>
    <w:rsid w:val="002C29A7"/>
    <w:rsid w:val="002C2A36"/>
    <w:rsid w:val="002C2B67"/>
    <w:rsid w:val="002C2B72"/>
    <w:rsid w:val="002C2DE2"/>
    <w:rsid w:val="002C2F44"/>
    <w:rsid w:val="002C3015"/>
    <w:rsid w:val="002C306A"/>
    <w:rsid w:val="002C30F7"/>
    <w:rsid w:val="002C31E6"/>
    <w:rsid w:val="002C32A3"/>
    <w:rsid w:val="002C32FA"/>
    <w:rsid w:val="002C3535"/>
    <w:rsid w:val="002C3651"/>
    <w:rsid w:val="002C3777"/>
    <w:rsid w:val="002C381A"/>
    <w:rsid w:val="002C38E3"/>
    <w:rsid w:val="002C3AAE"/>
    <w:rsid w:val="002C3D11"/>
    <w:rsid w:val="002C3E3E"/>
    <w:rsid w:val="002C4007"/>
    <w:rsid w:val="002C4017"/>
    <w:rsid w:val="002C415C"/>
    <w:rsid w:val="002C4483"/>
    <w:rsid w:val="002C44FE"/>
    <w:rsid w:val="002C4525"/>
    <w:rsid w:val="002C4669"/>
    <w:rsid w:val="002C4713"/>
    <w:rsid w:val="002C477C"/>
    <w:rsid w:val="002C47EF"/>
    <w:rsid w:val="002C48D4"/>
    <w:rsid w:val="002C4A39"/>
    <w:rsid w:val="002C4C4E"/>
    <w:rsid w:val="002C4DCA"/>
    <w:rsid w:val="002C5230"/>
    <w:rsid w:val="002C5780"/>
    <w:rsid w:val="002C584D"/>
    <w:rsid w:val="002C5876"/>
    <w:rsid w:val="002C5900"/>
    <w:rsid w:val="002C5A04"/>
    <w:rsid w:val="002C5C39"/>
    <w:rsid w:val="002C61A8"/>
    <w:rsid w:val="002C61C7"/>
    <w:rsid w:val="002C6403"/>
    <w:rsid w:val="002C643C"/>
    <w:rsid w:val="002C66A1"/>
    <w:rsid w:val="002C6ADC"/>
    <w:rsid w:val="002C6B69"/>
    <w:rsid w:val="002C6FBB"/>
    <w:rsid w:val="002C7319"/>
    <w:rsid w:val="002C740C"/>
    <w:rsid w:val="002C77F7"/>
    <w:rsid w:val="002C785A"/>
    <w:rsid w:val="002C78F1"/>
    <w:rsid w:val="002C796F"/>
    <w:rsid w:val="002C7F62"/>
    <w:rsid w:val="002D0165"/>
    <w:rsid w:val="002D026E"/>
    <w:rsid w:val="002D02DD"/>
    <w:rsid w:val="002D0336"/>
    <w:rsid w:val="002D039A"/>
    <w:rsid w:val="002D03F7"/>
    <w:rsid w:val="002D05F2"/>
    <w:rsid w:val="002D08E8"/>
    <w:rsid w:val="002D0BD7"/>
    <w:rsid w:val="002D0D18"/>
    <w:rsid w:val="002D0D49"/>
    <w:rsid w:val="002D10B2"/>
    <w:rsid w:val="002D12D7"/>
    <w:rsid w:val="002D13A3"/>
    <w:rsid w:val="002D175E"/>
    <w:rsid w:val="002D1841"/>
    <w:rsid w:val="002D1896"/>
    <w:rsid w:val="002D19B9"/>
    <w:rsid w:val="002D19F5"/>
    <w:rsid w:val="002D1A4E"/>
    <w:rsid w:val="002D1AF4"/>
    <w:rsid w:val="002D1B07"/>
    <w:rsid w:val="002D1B51"/>
    <w:rsid w:val="002D1D56"/>
    <w:rsid w:val="002D1FFA"/>
    <w:rsid w:val="002D2029"/>
    <w:rsid w:val="002D220A"/>
    <w:rsid w:val="002D2314"/>
    <w:rsid w:val="002D2358"/>
    <w:rsid w:val="002D24ED"/>
    <w:rsid w:val="002D2721"/>
    <w:rsid w:val="002D2AF1"/>
    <w:rsid w:val="002D2B33"/>
    <w:rsid w:val="002D2B48"/>
    <w:rsid w:val="002D2BF3"/>
    <w:rsid w:val="002D3197"/>
    <w:rsid w:val="002D321A"/>
    <w:rsid w:val="002D339B"/>
    <w:rsid w:val="002D3424"/>
    <w:rsid w:val="002D34B8"/>
    <w:rsid w:val="002D34F0"/>
    <w:rsid w:val="002D3830"/>
    <w:rsid w:val="002D39D4"/>
    <w:rsid w:val="002D3A1D"/>
    <w:rsid w:val="002D3EA8"/>
    <w:rsid w:val="002D3F8D"/>
    <w:rsid w:val="002D3FCA"/>
    <w:rsid w:val="002D3FE5"/>
    <w:rsid w:val="002D40C6"/>
    <w:rsid w:val="002D42F3"/>
    <w:rsid w:val="002D4479"/>
    <w:rsid w:val="002D4720"/>
    <w:rsid w:val="002D4A23"/>
    <w:rsid w:val="002D4F0C"/>
    <w:rsid w:val="002D4F0D"/>
    <w:rsid w:val="002D4FA7"/>
    <w:rsid w:val="002D5098"/>
    <w:rsid w:val="002D5127"/>
    <w:rsid w:val="002D516D"/>
    <w:rsid w:val="002D51D7"/>
    <w:rsid w:val="002D5268"/>
    <w:rsid w:val="002D53F4"/>
    <w:rsid w:val="002D5587"/>
    <w:rsid w:val="002D5843"/>
    <w:rsid w:val="002D5BB7"/>
    <w:rsid w:val="002D5BDA"/>
    <w:rsid w:val="002D5C12"/>
    <w:rsid w:val="002D5C93"/>
    <w:rsid w:val="002D5C9E"/>
    <w:rsid w:val="002D5CD4"/>
    <w:rsid w:val="002D5F4C"/>
    <w:rsid w:val="002D606A"/>
    <w:rsid w:val="002D6529"/>
    <w:rsid w:val="002D658F"/>
    <w:rsid w:val="002D65D9"/>
    <w:rsid w:val="002D663D"/>
    <w:rsid w:val="002D666B"/>
    <w:rsid w:val="002D686F"/>
    <w:rsid w:val="002D68A2"/>
    <w:rsid w:val="002D692E"/>
    <w:rsid w:val="002D69EC"/>
    <w:rsid w:val="002D6B06"/>
    <w:rsid w:val="002D6B14"/>
    <w:rsid w:val="002D6B82"/>
    <w:rsid w:val="002D6CA8"/>
    <w:rsid w:val="002D6D0E"/>
    <w:rsid w:val="002D6DAA"/>
    <w:rsid w:val="002D6DB3"/>
    <w:rsid w:val="002D6E69"/>
    <w:rsid w:val="002D6FA8"/>
    <w:rsid w:val="002D70F8"/>
    <w:rsid w:val="002D717E"/>
    <w:rsid w:val="002D720E"/>
    <w:rsid w:val="002D7849"/>
    <w:rsid w:val="002D7873"/>
    <w:rsid w:val="002D78D0"/>
    <w:rsid w:val="002D7964"/>
    <w:rsid w:val="002D7972"/>
    <w:rsid w:val="002D7A05"/>
    <w:rsid w:val="002D7D73"/>
    <w:rsid w:val="002D7EA2"/>
    <w:rsid w:val="002D7FCD"/>
    <w:rsid w:val="002E0075"/>
    <w:rsid w:val="002E015E"/>
    <w:rsid w:val="002E01E8"/>
    <w:rsid w:val="002E0459"/>
    <w:rsid w:val="002E048E"/>
    <w:rsid w:val="002E04CF"/>
    <w:rsid w:val="002E05CA"/>
    <w:rsid w:val="002E0A2E"/>
    <w:rsid w:val="002E0A63"/>
    <w:rsid w:val="002E0C08"/>
    <w:rsid w:val="002E0C31"/>
    <w:rsid w:val="002E0DB1"/>
    <w:rsid w:val="002E10FD"/>
    <w:rsid w:val="002E118A"/>
    <w:rsid w:val="002E11A0"/>
    <w:rsid w:val="002E175A"/>
    <w:rsid w:val="002E1794"/>
    <w:rsid w:val="002E191E"/>
    <w:rsid w:val="002E1C3D"/>
    <w:rsid w:val="002E1F26"/>
    <w:rsid w:val="002E200A"/>
    <w:rsid w:val="002E20C3"/>
    <w:rsid w:val="002E215D"/>
    <w:rsid w:val="002E2504"/>
    <w:rsid w:val="002E26D8"/>
    <w:rsid w:val="002E27F1"/>
    <w:rsid w:val="002E2A88"/>
    <w:rsid w:val="002E2BAD"/>
    <w:rsid w:val="002E2C40"/>
    <w:rsid w:val="002E2DB7"/>
    <w:rsid w:val="002E2EFD"/>
    <w:rsid w:val="002E3034"/>
    <w:rsid w:val="002E3126"/>
    <w:rsid w:val="002E3153"/>
    <w:rsid w:val="002E3249"/>
    <w:rsid w:val="002E32CE"/>
    <w:rsid w:val="002E33A7"/>
    <w:rsid w:val="002E3501"/>
    <w:rsid w:val="002E357E"/>
    <w:rsid w:val="002E36ED"/>
    <w:rsid w:val="002E38FE"/>
    <w:rsid w:val="002E39D6"/>
    <w:rsid w:val="002E3B62"/>
    <w:rsid w:val="002E3C10"/>
    <w:rsid w:val="002E3DC1"/>
    <w:rsid w:val="002E3DEE"/>
    <w:rsid w:val="002E3FA1"/>
    <w:rsid w:val="002E3FA2"/>
    <w:rsid w:val="002E405E"/>
    <w:rsid w:val="002E40B3"/>
    <w:rsid w:val="002E4208"/>
    <w:rsid w:val="002E4249"/>
    <w:rsid w:val="002E42E6"/>
    <w:rsid w:val="002E4386"/>
    <w:rsid w:val="002E43F7"/>
    <w:rsid w:val="002E4536"/>
    <w:rsid w:val="002E4882"/>
    <w:rsid w:val="002E4927"/>
    <w:rsid w:val="002E4961"/>
    <w:rsid w:val="002E49BE"/>
    <w:rsid w:val="002E4A1B"/>
    <w:rsid w:val="002E4C1D"/>
    <w:rsid w:val="002E4E91"/>
    <w:rsid w:val="002E4EB2"/>
    <w:rsid w:val="002E4EFF"/>
    <w:rsid w:val="002E4F6F"/>
    <w:rsid w:val="002E4FE7"/>
    <w:rsid w:val="002E506F"/>
    <w:rsid w:val="002E50BA"/>
    <w:rsid w:val="002E5162"/>
    <w:rsid w:val="002E527D"/>
    <w:rsid w:val="002E53F6"/>
    <w:rsid w:val="002E540E"/>
    <w:rsid w:val="002E5424"/>
    <w:rsid w:val="002E54FF"/>
    <w:rsid w:val="002E5604"/>
    <w:rsid w:val="002E58C5"/>
    <w:rsid w:val="002E59E5"/>
    <w:rsid w:val="002E5AB0"/>
    <w:rsid w:val="002E5B78"/>
    <w:rsid w:val="002E5C0C"/>
    <w:rsid w:val="002E5C22"/>
    <w:rsid w:val="002E5CC2"/>
    <w:rsid w:val="002E5F75"/>
    <w:rsid w:val="002E5F8D"/>
    <w:rsid w:val="002E6071"/>
    <w:rsid w:val="002E6088"/>
    <w:rsid w:val="002E60D0"/>
    <w:rsid w:val="002E60EC"/>
    <w:rsid w:val="002E6138"/>
    <w:rsid w:val="002E6222"/>
    <w:rsid w:val="002E62A7"/>
    <w:rsid w:val="002E62C4"/>
    <w:rsid w:val="002E6381"/>
    <w:rsid w:val="002E69AE"/>
    <w:rsid w:val="002E70CC"/>
    <w:rsid w:val="002E717D"/>
    <w:rsid w:val="002E735D"/>
    <w:rsid w:val="002E7704"/>
    <w:rsid w:val="002E798C"/>
    <w:rsid w:val="002E7AE2"/>
    <w:rsid w:val="002E7BDF"/>
    <w:rsid w:val="002E7CAF"/>
    <w:rsid w:val="002E7F53"/>
    <w:rsid w:val="002F0058"/>
    <w:rsid w:val="002F007C"/>
    <w:rsid w:val="002F02BD"/>
    <w:rsid w:val="002F0332"/>
    <w:rsid w:val="002F0468"/>
    <w:rsid w:val="002F04C1"/>
    <w:rsid w:val="002F0654"/>
    <w:rsid w:val="002F06FB"/>
    <w:rsid w:val="002F07E4"/>
    <w:rsid w:val="002F0AC8"/>
    <w:rsid w:val="002F0BD1"/>
    <w:rsid w:val="002F0D7B"/>
    <w:rsid w:val="002F0E06"/>
    <w:rsid w:val="002F0E36"/>
    <w:rsid w:val="002F0FBB"/>
    <w:rsid w:val="002F121F"/>
    <w:rsid w:val="002F125C"/>
    <w:rsid w:val="002F1300"/>
    <w:rsid w:val="002F13B1"/>
    <w:rsid w:val="002F1460"/>
    <w:rsid w:val="002F1483"/>
    <w:rsid w:val="002F1513"/>
    <w:rsid w:val="002F19A3"/>
    <w:rsid w:val="002F19B2"/>
    <w:rsid w:val="002F19B5"/>
    <w:rsid w:val="002F1ADF"/>
    <w:rsid w:val="002F20A9"/>
    <w:rsid w:val="002F20AD"/>
    <w:rsid w:val="002F20B7"/>
    <w:rsid w:val="002F2100"/>
    <w:rsid w:val="002F2108"/>
    <w:rsid w:val="002F251E"/>
    <w:rsid w:val="002F2618"/>
    <w:rsid w:val="002F2694"/>
    <w:rsid w:val="002F26CC"/>
    <w:rsid w:val="002F279D"/>
    <w:rsid w:val="002F28C1"/>
    <w:rsid w:val="002F28CC"/>
    <w:rsid w:val="002F2AE3"/>
    <w:rsid w:val="002F2CDC"/>
    <w:rsid w:val="002F2F47"/>
    <w:rsid w:val="002F31AF"/>
    <w:rsid w:val="002F3219"/>
    <w:rsid w:val="002F3312"/>
    <w:rsid w:val="002F34FB"/>
    <w:rsid w:val="002F3574"/>
    <w:rsid w:val="002F3DCD"/>
    <w:rsid w:val="002F3E1D"/>
    <w:rsid w:val="002F3F48"/>
    <w:rsid w:val="002F3F9E"/>
    <w:rsid w:val="002F40A6"/>
    <w:rsid w:val="002F4268"/>
    <w:rsid w:val="002F426F"/>
    <w:rsid w:val="002F4297"/>
    <w:rsid w:val="002F44B2"/>
    <w:rsid w:val="002F4524"/>
    <w:rsid w:val="002F4548"/>
    <w:rsid w:val="002F454F"/>
    <w:rsid w:val="002F461A"/>
    <w:rsid w:val="002F47FB"/>
    <w:rsid w:val="002F4979"/>
    <w:rsid w:val="002F497D"/>
    <w:rsid w:val="002F4B32"/>
    <w:rsid w:val="002F4BC1"/>
    <w:rsid w:val="002F4BF0"/>
    <w:rsid w:val="002F4C01"/>
    <w:rsid w:val="002F4E49"/>
    <w:rsid w:val="002F4FA7"/>
    <w:rsid w:val="002F5320"/>
    <w:rsid w:val="002F5651"/>
    <w:rsid w:val="002F5678"/>
    <w:rsid w:val="002F56A6"/>
    <w:rsid w:val="002F584A"/>
    <w:rsid w:val="002F5C40"/>
    <w:rsid w:val="002F5D97"/>
    <w:rsid w:val="002F6202"/>
    <w:rsid w:val="002F62B0"/>
    <w:rsid w:val="002F6412"/>
    <w:rsid w:val="002F689D"/>
    <w:rsid w:val="002F68B5"/>
    <w:rsid w:val="002F693E"/>
    <w:rsid w:val="002F6B79"/>
    <w:rsid w:val="002F6CB9"/>
    <w:rsid w:val="002F720B"/>
    <w:rsid w:val="002F736F"/>
    <w:rsid w:val="002F737A"/>
    <w:rsid w:val="002F73CC"/>
    <w:rsid w:val="002F785D"/>
    <w:rsid w:val="002F7B32"/>
    <w:rsid w:val="002F7F51"/>
    <w:rsid w:val="00300094"/>
    <w:rsid w:val="00300146"/>
    <w:rsid w:val="00300203"/>
    <w:rsid w:val="00300206"/>
    <w:rsid w:val="00300369"/>
    <w:rsid w:val="003006BE"/>
    <w:rsid w:val="00300840"/>
    <w:rsid w:val="0030095A"/>
    <w:rsid w:val="00300B5E"/>
    <w:rsid w:val="00300ECA"/>
    <w:rsid w:val="00300F58"/>
    <w:rsid w:val="00300F91"/>
    <w:rsid w:val="00300FCE"/>
    <w:rsid w:val="00301018"/>
    <w:rsid w:val="00301055"/>
    <w:rsid w:val="003010B3"/>
    <w:rsid w:val="0030110B"/>
    <w:rsid w:val="00301386"/>
    <w:rsid w:val="0030143D"/>
    <w:rsid w:val="003015C2"/>
    <w:rsid w:val="003015DB"/>
    <w:rsid w:val="003016A1"/>
    <w:rsid w:val="0030171D"/>
    <w:rsid w:val="00301744"/>
    <w:rsid w:val="00301772"/>
    <w:rsid w:val="003018D9"/>
    <w:rsid w:val="00301946"/>
    <w:rsid w:val="00301968"/>
    <w:rsid w:val="003019E6"/>
    <w:rsid w:val="003019EC"/>
    <w:rsid w:val="00301A77"/>
    <w:rsid w:val="00301B5C"/>
    <w:rsid w:val="00301CA5"/>
    <w:rsid w:val="00301CC7"/>
    <w:rsid w:val="00301CF1"/>
    <w:rsid w:val="00301DA3"/>
    <w:rsid w:val="003021A9"/>
    <w:rsid w:val="0030236C"/>
    <w:rsid w:val="00302473"/>
    <w:rsid w:val="003025C5"/>
    <w:rsid w:val="00302927"/>
    <w:rsid w:val="00302972"/>
    <w:rsid w:val="00302AF0"/>
    <w:rsid w:val="00302D0A"/>
    <w:rsid w:val="00302F91"/>
    <w:rsid w:val="00303064"/>
    <w:rsid w:val="003030CC"/>
    <w:rsid w:val="00303214"/>
    <w:rsid w:val="003036DB"/>
    <w:rsid w:val="003036DC"/>
    <w:rsid w:val="003038CF"/>
    <w:rsid w:val="0030391B"/>
    <w:rsid w:val="00303963"/>
    <w:rsid w:val="00303A1F"/>
    <w:rsid w:val="00303B52"/>
    <w:rsid w:val="00303D4A"/>
    <w:rsid w:val="00304089"/>
    <w:rsid w:val="003040B4"/>
    <w:rsid w:val="0030442C"/>
    <w:rsid w:val="00304497"/>
    <w:rsid w:val="00304656"/>
    <w:rsid w:val="00304799"/>
    <w:rsid w:val="00304B31"/>
    <w:rsid w:val="00304BD0"/>
    <w:rsid w:val="003051A4"/>
    <w:rsid w:val="0030542C"/>
    <w:rsid w:val="00305475"/>
    <w:rsid w:val="003057FA"/>
    <w:rsid w:val="0030590F"/>
    <w:rsid w:val="00305AF1"/>
    <w:rsid w:val="00305B1A"/>
    <w:rsid w:val="00305BF0"/>
    <w:rsid w:val="00305C58"/>
    <w:rsid w:val="00305D56"/>
    <w:rsid w:val="00305D9C"/>
    <w:rsid w:val="00306110"/>
    <w:rsid w:val="00306196"/>
    <w:rsid w:val="00306437"/>
    <w:rsid w:val="00306A09"/>
    <w:rsid w:val="00306CB4"/>
    <w:rsid w:val="00306F9E"/>
    <w:rsid w:val="0030717C"/>
    <w:rsid w:val="003071DB"/>
    <w:rsid w:val="003075D6"/>
    <w:rsid w:val="0030764F"/>
    <w:rsid w:val="00307696"/>
    <w:rsid w:val="003077AC"/>
    <w:rsid w:val="00307884"/>
    <w:rsid w:val="0030790A"/>
    <w:rsid w:val="00307A39"/>
    <w:rsid w:val="00307B81"/>
    <w:rsid w:val="00307C36"/>
    <w:rsid w:val="00307EF1"/>
    <w:rsid w:val="00307F57"/>
    <w:rsid w:val="00307F72"/>
    <w:rsid w:val="00307F7C"/>
    <w:rsid w:val="00310346"/>
    <w:rsid w:val="0031035C"/>
    <w:rsid w:val="00310607"/>
    <w:rsid w:val="00310613"/>
    <w:rsid w:val="00310716"/>
    <w:rsid w:val="00310751"/>
    <w:rsid w:val="00310801"/>
    <w:rsid w:val="003109A3"/>
    <w:rsid w:val="00310B5F"/>
    <w:rsid w:val="00310C08"/>
    <w:rsid w:val="00310D0F"/>
    <w:rsid w:val="00311320"/>
    <w:rsid w:val="0031136F"/>
    <w:rsid w:val="00311554"/>
    <w:rsid w:val="00311634"/>
    <w:rsid w:val="0031167D"/>
    <w:rsid w:val="0031190F"/>
    <w:rsid w:val="00311B4E"/>
    <w:rsid w:val="00311D83"/>
    <w:rsid w:val="00311ED2"/>
    <w:rsid w:val="003120A1"/>
    <w:rsid w:val="0031221C"/>
    <w:rsid w:val="00312243"/>
    <w:rsid w:val="003123D0"/>
    <w:rsid w:val="0031243C"/>
    <w:rsid w:val="0031260C"/>
    <w:rsid w:val="003128F1"/>
    <w:rsid w:val="0031299D"/>
    <w:rsid w:val="003129D3"/>
    <w:rsid w:val="00312A2D"/>
    <w:rsid w:val="00312AAF"/>
    <w:rsid w:val="00312B0D"/>
    <w:rsid w:val="00312B5B"/>
    <w:rsid w:val="00312DAF"/>
    <w:rsid w:val="00312E5F"/>
    <w:rsid w:val="00312F03"/>
    <w:rsid w:val="00312F69"/>
    <w:rsid w:val="00312F71"/>
    <w:rsid w:val="00313023"/>
    <w:rsid w:val="003131ED"/>
    <w:rsid w:val="003135D9"/>
    <w:rsid w:val="0031360F"/>
    <w:rsid w:val="0031361A"/>
    <w:rsid w:val="003137DC"/>
    <w:rsid w:val="00313909"/>
    <w:rsid w:val="00313A98"/>
    <w:rsid w:val="00313C7B"/>
    <w:rsid w:val="00313E11"/>
    <w:rsid w:val="00314180"/>
    <w:rsid w:val="0031432A"/>
    <w:rsid w:val="003145BE"/>
    <w:rsid w:val="0031467C"/>
    <w:rsid w:val="003147DE"/>
    <w:rsid w:val="00314B45"/>
    <w:rsid w:val="00314CB3"/>
    <w:rsid w:val="00314E55"/>
    <w:rsid w:val="00314EF8"/>
    <w:rsid w:val="0031509C"/>
    <w:rsid w:val="003152FA"/>
    <w:rsid w:val="003154A0"/>
    <w:rsid w:val="003157EE"/>
    <w:rsid w:val="003158C1"/>
    <w:rsid w:val="00315B60"/>
    <w:rsid w:val="00315B84"/>
    <w:rsid w:val="00315BDB"/>
    <w:rsid w:val="00315BFC"/>
    <w:rsid w:val="00315D5F"/>
    <w:rsid w:val="00315E02"/>
    <w:rsid w:val="00315E30"/>
    <w:rsid w:val="0031636B"/>
    <w:rsid w:val="00316420"/>
    <w:rsid w:val="00316447"/>
    <w:rsid w:val="0031658C"/>
    <w:rsid w:val="003165A9"/>
    <w:rsid w:val="0031669E"/>
    <w:rsid w:val="003166DE"/>
    <w:rsid w:val="00316763"/>
    <w:rsid w:val="003167FE"/>
    <w:rsid w:val="003169B4"/>
    <w:rsid w:val="00316C66"/>
    <w:rsid w:val="00316D10"/>
    <w:rsid w:val="00316F70"/>
    <w:rsid w:val="00316F8C"/>
    <w:rsid w:val="00316F9D"/>
    <w:rsid w:val="00317432"/>
    <w:rsid w:val="00317450"/>
    <w:rsid w:val="003174D4"/>
    <w:rsid w:val="00317597"/>
    <w:rsid w:val="00317637"/>
    <w:rsid w:val="003176EE"/>
    <w:rsid w:val="00317A3A"/>
    <w:rsid w:val="00317A54"/>
    <w:rsid w:val="00317AD5"/>
    <w:rsid w:val="00317D37"/>
    <w:rsid w:val="003200E0"/>
    <w:rsid w:val="00320176"/>
    <w:rsid w:val="0032023D"/>
    <w:rsid w:val="00320481"/>
    <w:rsid w:val="003205C2"/>
    <w:rsid w:val="00320700"/>
    <w:rsid w:val="003208B3"/>
    <w:rsid w:val="00320B2D"/>
    <w:rsid w:val="00320C4E"/>
    <w:rsid w:val="00320FCA"/>
    <w:rsid w:val="003210D7"/>
    <w:rsid w:val="0032114B"/>
    <w:rsid w:val="00321228"/>
    <w:rsid w:val="003213E7"/>
    <w:rsid w:val="003215BA"/>
    <w:rsid w:val="003216D6"/>
    <w:rsid w:val="00321757"/>
    <w:rsid w:val="003217B6"/>
    <w:rsid w:val="003217D1"/>
    <w:rsid w:val="003218D1"/>
    <w:rsid w:val="00321911"/>
    <w:rsid w:val="00321ADC"/>
    <w:rsid w:val="00321B7E"/>
    <w:rsid w:val="00321CFB"/>
    <w:rsid w:val="00321E25"/>
    <w:rsid w:val="00321E80"/>
    <w:rsid w:val="00321EC5"/>
    <w:rsid w:val="00321F04"/>
    <w:rsid w:val="00321FB4"/>
    <w:rsid w:val="00322088"/>
    <w:rsid w:val="003220C5"/>
    <w:rsid w:val="003222B0"/>
    <w:rsid w:val="00322305"/>
    <w:rsid w:val="00322356"/>
    <w:rsid w:val="00322787"/>
    <w:rsid w:val="003227A5"/>
    <w:rsid w:val="00322898"/>
    <w:rsid w:val="003229A4"/>
    <w:rsid w:val="00322C80"/>
    <w:rsid w:val="00322D82"/>
    <w:rsid w:val="00322DC5"/>
    <w:rsid w:val="00322E59"/>
    <w:rsid w:val="0032325C"/>
    <w:rsid w:val="00323441"/>
    <w:rsid w:val="003234B4"/>
    <w:rsid w:val="003235E5"/>
    <w:rsid w:val="003237F6"/>
    <w:rsid w:val="0032380A"/>
    <w:rsid w:val="003239F1"/>
    <w:rsid w:val="00323BE3"/>
    <w:rsid w:val="00323DC4"/>
    <w:rsid w:val="00323E61"/>
    <w:rsid w:val="00323E8F"/>
    <w:rsid w:val="00324574"/>
    <w:rsid w:val="003245E9"/>
    <w:rsid w:val="0032470C"/>
    <w:rsid w:val="0032485C"/>
    <w:rsid w:val="00324925"/>
    <w:rsid w:val="00324D05"/>
    <w:rsid w:val="00324E6A"/>
    <w:rsid w:val="003250E1"/>
    <w:rsid w:val="00325316"/>
    <w:rsid w:val="00325356"/>
    <w:rsid w:val="003253D3"/>
    <w:rsid w:val="0032549B"/>
    <w:rsid w:val="00325552"/>
    <w:rsid w:val="003255D7"/>
    <w:rsid w:val="003255F8"/>
    <w:rsid w:val="00325654"/>
    <w:rsid w:val="0032575E"/>
    <w:rsid w:val="00325905"/>
    <w:rsid w:val="00325933"/>
    <w:rsid w:val="00325D99"/>
    <w:rsid w:val="00326036"/>
    <w:rsid w:val="00326169"/>
    <w:rsid w:val="003261F2"/>
    <w:rsid w:val="003262EA"/>
    <w:rsid w:val="00326479"/>
    <w:rsid w:val="0032650C"/>
    <w:rsid w:val="00326706"/>
    <w:rsid w:val="00326ACE"/>
    <w:rsid w:val="003270BD"/>
    <w:rsid w:val="003270F6"/>
    <w:rsid w:val="003271B3"/>
    <w:rsid w:val="003276A5"/>
    <w:rsid w:val="00327977"/>
    <w:rsid w:val="00327A53"/>
    <w:rsid w:val="00327AC4"/>
    <w:rsid w:val="00327C86"/>
    <w:rsid w:val="00330043"/>
    <w:rsid w:val="00330055"/>
    <w:rsid w:val="00330081"/>
    <w:rsid w:val="003300A0"/>
    <w:rsid w:val="00330691"/>
    <w:rsid w:val="00330728"/>
    <w:rsid w:val="00330883"/>
    <w:rsid w:val="003308D9"/>
    <w:rsid w:val="00330B16"/>
    <w:rsid w:val="00330C6C"/>
    <w:rsid w:val="00330CCD"/>
    <w:rsid w:val="00330CD7"/>
    <w:rsid w:val="00331166"/>
    <w:rsid w:val="00331554"/>
    <w:rsid w:val="003315DB"/>
    <w:rsid w:val="0033195A"/>
    <w:rsid w:val="00331AF2"/>
    <w:rsid w:val="00331DD6"/>
    <w:rsid w:val="00331E0B"/>
    <w:rsid w:val="00331E3A"/>
    <w:rsid w:val="00331F0D"/>
    <w:rsid w:val="00331FA7"/>
    <w:rsid w:val="003321BE"/>
    <w:rsid w:val="003321F0"/>
    <w:rsid w:val="003322C6"/>
    <w:rsid w:val="003324AE"/>
    <w:rsid w:val="003324C5"/>
    <w:rsid w:val="0033267A"/>
    <w:rsid w:val="0033277E"/>
    <w:rsid w:val="003327C2"/>
    <w:rsid w:val="003328C4"/>
    <w:rsid w:val="00332964"/>
    <w:rsid w:val="003329F6"/>
    <w:rsid w:val="00332BA4"/>
    <w:rsid w:val="00332C68"/>
    <w:rsid w:val="00332C77"/>
    <w:rsid w:val="00332DD5"/>
    <w:rsid w:val="00332DE1"/>
    <w:rsid w:val="00332E0A"/>
    <w:rsid w:val="00332EA8"/>
    <w:rsid w:val="00332F4D"/>
    <w:rsid w:val="00333184"/>
    <w:rsid w:val="003331EC"/>
    <w:rsid w:val="00333336"/>
    <w:rsid w:val="0033333F"/>
    <w:rsid w:val="00333416"/>
    <w:rsid w:val="00333423"/>
    <w:rsid w:val="003334A1"/>
    <w:rsid w:val="003334DF"/>
    <w:rsid w:val="003336D6"/>
    <w:rsid w:val="003337AE"/>
    <w:rsid w:val="00333913"/>
    <w:rsid w:val="00333A00"/>
    <w:rsid w:val="00333AAB"/>
    <w:rsid w:val="00333C58"/>
    <w:rsid w:val="00333D74"/>
    <w:rsid w:val="003342F5"/>
    <w:rsid w:val="00334422"/>
    <w:rsid w:val="00334427"/>
    <w:rsid w:val="0033444A"/>
    <w:rsid w:val="00334581"/>
    <w:rsid w:val="0033483B"/>
    <w:rsid w:val="00334864"/>
    <w:rsid w:val="00334971"/>
    <w:rsid w:val="00334B0F"/>
    <w:rsid w:val="00334C4B"/>
    <w:rsid w:val="00334CF5"/>
    <w:rsid w:val="00334E6E"/>
    <w:rsid w:val="003350A6"/>
    <w:rsid w:val="0033519E"/>
    <w:rsid w:val="00335308"/>
    <w:rsid w:val="003353E1"/>
    <w:rsid w:val="00335496"/>
    <w:rsid w:val="003354ED"/>
    <w:rsid w:val="003356FD"/>
    <w:rsid w:val="00335730"/>
    <w:rsid w:val="00335784"/>
    <w:rsid w:val="003358AD"/>
    <w:rsid w:val="00335BE5"/>
    <w:rsid w:val="00335BE7"/>
    <w:rsid w:val="00335C69"/>
    <w:rsid w:val="00335D67"/>
    <w:rsid w:val="00335D7C"/>
    <w:rsid w:val="0033602A"/>
    <w:rsid w:val="00336158"/>
    <w:rsid w:val="00336191"/>
    <w:rsid w:val="00336216"/>
    <w:rsid w:val="00336305"/>
    <w:rsid w:val="003363C6"/>
    <w:rsid w:val="0033674B"/>
    <w:rsid w:val="00336926"/>
    <w:rsid w:val="0033693F"/>
    <w:rsid w:val="00336A2B"/>
    <w:rsid w:val="00336ABD"/>
    <w:rsid w:val="00336B54"/>
    <w:rsid w:val="00336BE1"/>
    <w:rsid w:val="00336C0D"/>
    <w:rsid w:val="00336C51"/>
    <w:rsid w:val="00336C64"/>
    <w:rsid w:val="00336CE0"/>
    <w:rsid w:val="00336DCD"/>
    <w:rsid w:val="003370D0"/>
    <w:rsid w:val="00337195"/>
    <w:rsid w:val="003376E7"/>
    <w:rsid w:val="0033771E"/>
    <w:rsid w:val="00337910"/>
    <w:rsid w:val="00337AF3"/>
    <w:rsid w:val="00337B09"/>
    <w:rsid w:val="00337B86"/>
    <w:rsid w:val="00337E95"/>
    <w:rsid w:val="00337FDF"/>
    <w:rsid w:val="0034005D"/>
    <w:rsid w:val="00340094"/>
    <w:rsid w:val="00340815"/>
    <w:rsid w:val="0034085D"/>
    <w:rsid w:val="00340868"/>
    <w:rsid w:val="00340878"/>
    <w:rsid w:val="00340E24"/>
    <w:rsid w:val="0034105B"/>
    <w:rsid w:val="0034105F"/>
    <w:rsid w:val="00341214"/>
    <w:rsid w:val="00341231"/>
    <w:rsid w:val="003412DE"/>
    <w:rsid w:val="00341323"/>
    <w:rsid w:val="00341381"/>
    <w:rsid w:val="003413FD"/>
    <w:rsid w:val="00341434"/>
    <w:rsid w:val="003414A8"/>
    <w:rsid w:val="003415CA"/>
    <w:rsid w:val="00341604"/>
    <w:rsid w:val="003416A5"/>
    <w:rsid w:val="00341866"/>
    <w:rsid w:val="00341DB5"/>
    <w:rsid w:val="00341DEC"/>
    <w:rsid w:val="00341ED4"/>
    <w:rsid w:val="00341FB6"/>
    <w:rsid w:val="0034203A"/>
    <w:rsid w:val="00342056"/>
    <w:rsid w:val="0034208B"/>
    <w:rsid w:val="003421D0"/>
    <w:rsid w:val="003424FE"/>
    <w:rsid w:val="0034257F"/>
    <w:rsid w:val="003426A0"/>
    <w:rsid w:val="0034275C"/>
    <w:rsid w:val="00342785"/>
    <w:rsid w:val="003427F5"/>
    <w:rsid w:val="00342839"/>
    <w:rsid w:val="00342A65"/>
    <w:rsid w:val="00342B11"/>
    <w:rsid w:val="00342C07"/>
    <w:rsid w:val="00342EF3"/>
    <w:rsid w:val="003430D9"/>
    <w:rsid w:val="003432D9"/>
    <w:rsid w:val="0034334E"/>
    <w:rsid w:val="00343413"/>
    <w:rsid w:val="00343518"/>
    <w:rsid w:val="0034351F"/>
    <w:rsid w:val="00343755"/>
    <w:rsid w:val="0034378A"/>
    <w:rsid w:val="00343909"/>
    <w:rsid w:val="00343A04"/>
    <w:rsid w:val="00343B58"/>
    <w:rsid w:val="00343C74"/>
    <w:rsid w:val="00343D95"/>
    <w:rsid w:val="00343D9C"/>
    <w:rsid w:val="00344041"/>
    <w:rsid w:val="0034448F"/>
    <w:rsid w:val="00344579"/>
    <w:rsid w:val="00344593"/>
    <w:rsid w:val="00344661"/>
    <w:rsid w:val="003446B9"/>
    <w:rsid w:val="003446C7"/>
    <w:rsid w:val="00344739"/>
    <w:rsid w:val="0034498F"/>
    <w:rsid w:val="00344A48"/>
    <w:rsid w:val="00344D6E"/>
    <w:rsid w:val="0034502A"/>
    <w:rsid w:val="003450B6"/>
    <w:rsid w:val="0034512F"/>
    <w:rsid w:val="0034513D"/>
    <w:rsid w:val="00345151"/>
    <w:rsid w:val="003451FD"/>
    <w:rsid w:val="0034523E"/>
    <w:rsid w:val="00345262"/>
    <w:rsid w:val="00345305"/>
    <w:rsid w:val="003456D9"/>
    <w:rsid w:val="00345794"/>
    <w:rsid w:val="003457DA"/>
    <w:rsid w:val="003457F6"/>
    <w:rsid w:val="00345940"/>
    <w:rsid w:val="00345C72"/>
    <w:rsid w:val="00345E4E"/>
    <w:rsid w:val="00345E8A"/>
    <w:rsid w:val="00345F34"/>
    <w:rsid w:val="00345FA2"/>
    <w:rsid w:val="00346289"/>
    <w:rsid w:val="003462B0"/>
    <w:rsid w:val="00346384"/>
    <w:rsid w:val="0034650E"/>
    <w:rsid w:val="003466F5"/>
    <w:rsid w:val="0034696F"/>
    <w:rsid w:val="00346C09"/>
    <w:rsid w:val="00346D32"/>
    <w:rsid w:val="0034704C"/>
    <w:rsid w:val="003470A5"/>
    <w:rsid w:val="00347216"/>
    <w:rsid w:val="003472E6"/>
    <w:rsid w:val="00347454"/>
    <w:rsid w:val="003475B5"/>
    <w:rsid w:val="00347984"/>
    <w:rsid w:val="003479B6"/>
    <w:rsid w:val="00347A35"/>
    <w:rsid w:val="00347A37"/>
    <w:rsid w:val="00347B39"/>
    <w:rsid w:val="00347C0E"/>
    <w:rsid w:val="00347C8F"/>
    <w:rsid w:val="00347DB5"/>
    <w:rsid w:val="003501FB"/>
    <w:rsid w:val="0035029C"/>
    <w:rsid w:val="003502B1"/>
    <w:rsid w:val="003504EC"/>
    <w:rsid w:val="0035067A"/>
    <w:rsid w:val="00350700"/>
    <w:rsid w:val="0035084A"/>
    <w:rsid w:val="00350977"/>
    <w:rsid w:val="00350A5F"/>
    <w:rsid w:val="00350AE2"/>
    <w:rsid w:val="00350BEE"/>
    <w:rsid w:val="00350C54"/>
    <w:rsid w:val="00350CE4"/>
    <w:rsid w:val="00350E12"/>
    <w:rsid w:val="00350EE2"/>
    <w:rsid w:val="00351398"/>
    <w:rsid w:val="003515A7"/>
    <w:rsid w:val="003515B5"/>
    <w:rsid w:val="00351617"/>
    <w:rsid w:val="00351809"/>
    <w:rsid w:val="00351EA7"/>
    <w:rsid w:val="00351EDC"/>
    <w:rsid w:val="0035216A"/>
    <w:rsid w:val="003522F6"/>
    <w:rsid w:val="0035257E"/>
    <w:rsid w:val="0035260B"/>
    <w:rsid w:val="003529E1"/>
    <w:rsid w:val="00352B6C"/>
    <w:rsid w:val="00352EA9"/>
    <w:rsid w:val="00352FE3"/>
    <w:rsid w:val="00352FEE"/>
    <w:rsid w:val="0035322B"/>
    <w:rsid w:val="003532A6"/>
    <w:rsid w:val="00353364"/>
    <w:rsid w:val="0035357B"/>
    <w:rsid w:val="00353E9B"/>
    <w:rsid w:val="00353EA0"/>
    <w:rsid w:val="00353F50"/>
    <w:rsid w:val="00354039"/>
    <w:rsid w:val="003542A6"/>
    <w:rsid w:val="00354341"/>
    <w:rsid w:val="00354732"/>
    <w:rsid w:val="00354777"/>
    <w:rsid w:val="003547B4"/>
    <w:rsid w:val="003548D4"/>
    <w:rsid w:val="00354B15"/>
    <w:rsid w:val="00354F2B"/>
    <w:rsid w:val="003550AC"/>
    <w:rsid w:val="003551BE"/>
    <w:rsid w:val="003551F4"/>
    <w:rsid w:val="0035525B"/>
    <w:rsid w:val="003555AD"/>
    <w:rsid w:val="003555EB"/>
    <w:rsid w:val="00355844"/>
    <w:rsid w:val="003558E2"/>
    <w:rsid w:val="0035594E"/>
    <w:rsid w:val="0035599C"/>
    <w:rsid w:val="00355BE3"/>
    <w:rsid w:val="00355C1E"/>
    <w:rsid w:val="00355E3D"/>
    <w:rsid w:val="00355E98"/>
    <w:rsid w:val="00356288"/>
    <w:rsid w:val="003562D1"/>
    <w:rsid w:val="003563CB"/>
    <w:rsid w:val="00356464"/>
    <w:rsid w:val="00356492"/>
    <w:rsid w:val="003565B5"/>
    <w:rsid w:val="0035662B"/>
    <w:rsid w:val="00356AAD"/>
    <w:rsid w:val="00356C94"/>
    <w:rsid w:val="00356EF4"/>
    <w:rsid w:val="00357168"/>
    <w:rsid w:val="00357456"/>
    <w:rsid w:val="00357519"/>
    <w:rsid w:val="00357645"/>
    <w:rsid w:val="00357766"/>
    <w:rsid w:val="0035783B"/>
    <w:rsid w:val="0035785B"/>
    <w:rsid w:val="00357878"/>
    <w:rsid w:val="00357BD3"/>
    <w:rsid w:val="00357CCE"/>
    <w:rsid w:val="00357D37"/>
    <w:rsid w:val="00357E0C"/>
    <w:rsid w:val="00357EC4"/>
    <w:rsid w:val="00357FB0"/>
    <w:rsid w:val="003600AD"/>
    <w:rsid w:val="003600F5"/>
    <w:rsid w:val="003601B7"/>
    <w:rsid w:val="00360216"/>
    <w:rsid w:val="00360312"/>
    <w:rsid w:val="0036046D"/>
    <w:rsid w:val="003607D9"/>
    <w:rsid w:val="00360879"/>
    <w:rsid w:val="00360B1A"/>
    <w:rsid w:val="00360F68"/>
    <w:rsid w:val="00361072"/>
    <w:rsid w:val="0036135E"/>
    <w:rsid w:val="003614D8"/>
    <w:rsid w:val="00361552"/>
    <w:rsid w:val="003617C5"/>
    <w:rsid w:val="003617DC"/>
    <w:rsid w:val="003619E7"/>
    <w:rsid w:val="00361A24"/>
    <w:rsid w:val="00361B78"/>
    <w:rsid w:val="00361E57"/>
    <w:rsid w:val="00361EFC"/>
    <w:rsid w:val="0036202A"/>
    <w:rsid w:val="00362397"/>
    <w:rsid w:val="003627CA"/>
    <w:rsid w:val="00362914"/>
    <w:rsid w:val="00362998"/>
    <w:rsid w:val="00362CE2"/>
    <w:rsid w:val="00362EF7"/>
    <w:rsid w:val="003632CC"/>
    <w:rsid w:val="003632ED"/>
    <w:rsid w:val="003633FB"/>
    <w:rsid w:val="0036365C"/>
    <w:rsid w:val="00363669"/>
    <w:rsid w:val="00363791"/>
    <w:rsid w:val="00363830"/>
    <w:rsid w:val="003639CD"/>
    <w:rsid w:val="00363B25"/>
    <w:rsid w:val="00363B80"/>
    <w:rsid w:val="00363DCE"/>
    <w:rsid w:val="00363E1C"/>
    <w:rsid w:val="00364041"/>
    <w:rsid w:val="003641D1"/>
    <w:rsid w:val="003642A2"/>
    <w:rsid w:val="0036431E"/>
    <w:rsid w:val="003645E1"/>
    <w:rsid w:val="00364837"/>
    <w:rsid w:val="003649E9"/>
    <w:rsid w:val="00364A32"/>
    <w:rsid w:val="00364BB2"/>
    <w:rsid w:val="00364C8D"/>
    <w:rsid w:val="00364D03"/>
    <w:rsid w:val="00364DEA"/>
    <w:rsid w:val="00364E02"/>
    <w:rsid w:val="0036500A"/>
    <w:rsid w:val="003650E7"/>
    <w:rsid w:val="00365464"/>
    <w:rsid w:val="003654CB"/>
    <w:rsid w:val="00365655"/>
    <w:rsid w:val="0036567A"/>
    <w:rsid w:val="003656AB"/>
    <w:rsid w:val="003659B1"/>
    <w:rsid w:val="00365A2E"/>
    <w:rsid w:val="00365B34"/>
    <w:rsid w:val="00365C5E"/>
    <w:rsid w:val="00365EE5"/>
    <w:rsid w:val="00365FA3"/>
    <w:rsid w:val="003660C3"/>
    <w:rsid w:val="0036623F"/>
    <w:rsid w:val="003665DB"/>
    <w:rsid w:val="003666F2"/>
    <w:rsid w:val="0036683F"/>
    <w:rsid w:val="00366A2C"/>
    <w:rsid w:val="00366A56"/>
    <w:rsid w:val="00366C0F"/>
    <w:rsid w:val="00366DB8"/>
    <w:rsid w:val="003671E1"/>
    <w:rsid w:val="00367325"/>
    <w:rsid w:val="003673A3"/>
    <w:rsid w:val="00367601"/>
    <w:rsid w:val="00367999"/>
    <w:rsid w:val="00367A5A"/>
    <w:rsid w:val="00367B4E"/>
    <w:rsid w:val="00367E71"/>
    <w:rsid w:val="003700D7"/>
    <w:rsid w:val="0037036C"/>
    <w:rsid w:val="00370551"/>
    <w:rsid w:val="003705EE"/>
    <w:rsid w:val="003706DB"/>
    <w:rsid w:val="00370767"/>
    <w:rsid w:val="003708CC"/>
    <w:rsid w:val="00370B18"/>
    <w:rsid w:val="00370C3F"/>
    <w:rsid w:val="00370D0F"/>
    <w:rsid w:val="00370D52"/>
    <w:rsid w:val="00370E2B"/>
    <w:rsid w:val="00370F66"/>
    <w:rsid w:val="0037112F"/>
    <w:rsid w:val="00371195"/>
    <w:rsid w:val="003711C6"/>
    <w:rsid w:val="003713AF"/>
    <w:rsid w:val="003713E7"/>
    <w:rsid w:val="003715A0"/>
    <w:rsid w:val="00371773"/>
    <w:rsid w:val="00371781"/>
    <w:rsid w:val="00371975"/>
    <w:rsid w:val="00371A03"/>
    <w:rsid w:val="00371A46"/>
    <w:rsid w:val="00371B5E"/>
    <w:rsid w:val="00372215"/>
    <w:rsid w:val="0037227E"/>
    <w:rsid w:val="003723A7"/>
    <w:rsid w:val="0037246F"/>
    <w:rsid w:val="00372527"/>
    <w:rsid w:val="0037263F"/>
    <w:rsid w:val="0037264A"/>
    <w:rsid w:val="003726AE"/>
    <w:rsid w:val="0037270F"/>
    <w:rsid w:val="00372A5B"/>
    <w:rsid w:val="00372B97"/>
    <w:rsid w:val="00372C9C"/>
    <w:rsid w:val="00372D2F"/>
    <w:rsid w:val="00373199"/>
    <w:rsid w:val="00373227"/>
    <w:rsid w:val="003734BD"/>
    <w:rsid w:val="0037351D"/>
    <w:rsid w:val="00373527"/>
    <w:rsid w:val="00373661"/>
    <w:rsid w:val="003737D3"/>
    <w:rsid w:val="00373908"/>
    <w:rsid w:val="003739FE"/>
    <w:rsid w:val="00373C74"/>
    <w:rsid w:val="00373D62"/>
    <w:rsid w:val="00373D73"/>
    <w:rsid w:val="00373F68"/>
    <w:rsid w:val="00374342"/>
    <w:rsid w:val="00374344"/>
    <w:rsid w:val="00374374"/>
    <w:rsid w:val="00374467"/>
    <w:rsid w:val="003747E7"/>
    <w:rsid w:val="00374CD8"/>
    <w:rsid w:val="00374DC9"/>
    <w:rsid w:val="00374E98"/>
    <w:rsid w:val="00374F87"/>
    <w:rsid w:val="003751C7"/>
    <w:rsid w:val="00375258"/>
    <w:rsid w:val="003752C7"/>
    <w:rsid w:val="003754EF"/>
    <w:rsid w:val="00375619"/>
    <w:rsid w:val="003756E2"/>
    <w:rsid w:val="003756ED"/>
    <w:rsid w:val="003759EF"/>
    <w:rsid w:val="00375BE5"/>
    <w:rsid w:val="00375D9D"/>
    <w:rsid w:val="00376075"/>
    <w:rsid w:val="0037612A"/>
    <w:rsid w:val="0037614C"/>
    <w:rsid w:val="00376208"/>
    <w:rsid w:val="003767F3"/>
    <w:rsid w:val="00376874"/>
    <w:rsid w:val="003768D6"/>
    <w:rsid w:val="0037691E"/>
    <w:rsid w:val="003769CD"/>
    <w:rsid w:val="00376AF1"/>
    <w:rsid w:val="00376DB9"/>
    <w:rsid w:val="00376DBB"/>
    <w:rsid w:val="00376DFC"/>
    <w:rsid w:val="00377223"/>
    <w:rsid w:val="0037737A"/>
    <w:rsid w:val="00377B2D"/>
    <w:rsid w:val="00377E2C"/>
    <w:rsid w:val="00377FA7"/>
    <w:rsid w:val="003800B0"/>
    <w:rsid w:val="003800E6"/>
    <w:rsid w:val="003802BC"/>
    <w:rsid w:val="003803C5"/>
    <w:rsid w:val="003805B7"/>
    <w:rsid w:val="003806CE"/>
    <w:rsid w:val="003807D4"/>
    <w:rsid w:val="003807DB"/>
    <w:rsid w:val="0038089A"/>
    <w:rsid w:val="0038092A"/>
    <w:rsid w:val="00380939"/>
    <w:rsid w:val="00380A44"/>
    <w:rsid w:val="00380A50"/>
    <w:rsid w:val="00380A63"/>
    <w:rsid w:val="00380BF8"/>
    <w:rsid w:val="00380BFC"/>
    <w:rsid w:val="00380DBE"/>
    <w:rsid w:val="00380F37"/>
    <w:rsid w:val="003810AF"/>
    <w:rsid w:val="003810B8"/>
    <w:rsid w:val="003811B9"/>
    <w:rsid w:val="003812A8"/>
    <w:rsid w:val="003815D8"/>
    <w:rsid w:val="0038167E"/>
    <w:rsid w:val="0038189E"/>
    <w:rsid w:val="003819CD"/>
    <w:rsid w:val="00381F01"/>
    <w:rsid w:val="00381F57"/>
    <w:rsid w:val="0038212C"/>
    <w:rsid w:val="003821D7"/>
    <w:rsid w:val="003821F0"/>
    <w:rsid w:val="003823CF"/>
    <w:rsid w:val="00382549"/>
    <w:rsid w:val="0038276C"/>
    <w:rsid w:val="00382846"/>
    <w:rsid w:val="00382E6A"/>
    <w:rsid w:val="003831EC"/>
    <w:rsid w:val="003833FA"/>
    <w:rsid w:val="00383738"/>
    <w:rsid w:val="003837E3"/>
    <w:rsid w:val="003839EE"/>
    <w:rsid w:val="00383B3D"/>
    <w:rsid w:val="0038407B"/>
    <w:rsid w:val="00384189"/>
    <w:rsid w:val="00384457"/>
    <w:rsid w:val="003846E2"/>
    <w:rsid w:val="003848C1"/>
    <w:rsid w:val="00384923"/>
    <w:rsid w:val="00384AA8"/>
    <w:rsid w:val="00384BA5"/>
    <w:rsid w:val="00384BF5"/>
    <w:rsid w:val="00384C99"/>
    <w:rsid w:val="00384D56"/>
    <w:rsid w:val="00384F97"/>
    <w:rsid w:val="0038510A"/>
    <w:rsid w:val="00385576"/>
    <w:rsid w:val="003855FB"/>
    <w:rsid w:val="00385746"/>
    <w:rsid w:val="00385895"/>
    <w:rsid w:val="00385A21"/>
    <w:rsid w:val="00385DCD"/>
    <w:rsid w:val="00385E06"/>
    <w:rsid w:val="00385E4D"/>
    <w:rsid w:val="003860CC"/>
    <w:rsid w:val="00386211"/>
    <w:rsid w:val="00386234"/>
    <w:rsid w:val="00386372"/>
    <w:rsid w:val="003864C0"/>
    <w:rsid w:val="00386669"/>
    <w:rsid w:val="00386746"/>
    <w:rsid w:val="00386A4F"/>
    <w:rsid w:val="00386BCA"/>
    <w:rsid w:val="00386CB0"/>
    <w:rsid w:val="00386CF4"/>
    <w:rsid w:val="0038718A"/>
    <w:rsid w:val="00387201"/>
    <w:rsid w:val="003872DD"/>
    <w:rsid w:val="00387461"/>
    <w:rsid w:val="00387635"/>
    <w:rsid w:val="003876D9"/>
    <w:rsid w:val="0038770F"/>
    <w:rsid w:val="00387720"/>
    <w:rsid w:val="00387B4B"/>
    <w:rsid w:val="00387B5A"/>
    <w:rsid w:val="00387BA6"/>
    <w:rsid w:val="00387E65"/>
    <w:rsid w:val="00387ED4"/>
    <w:rsid w:val="00387F55"/>
    <w:rsid w:val="003900F3"/>
    <w:rsid w:val="0039020C"/>
    <w:rsid w:val="003902D9"/>
    <w:rsid w:val="003903EA"/>
    <w:rsid w:val="0039046A"/>
    <w:rsid w:val="0039075B"/>
    <w:rsid w:val="00390804"/>
    <w:rsid w:val="003908EA"/>
    <w:rsid w:val="00390C66"/>
    <w:rsid w:val="00390E1F"/>
    <w:rsid w:val="00390EF6"/>
    <w:rsid w:val="00390F83"/>
    <w:rsid w:val="00390F97"/>
    <w:rsid w:val="0039100B"/>
    <w:rsid w:val="0039119F"/>
    <w:rsid w:val="003916C4"/>
    <w:rsid w:val="00391861"/>
    <w:rsid w:val="003919AF"/>
    <w:rsid w:val="003919FF"/>
    <w:rsid w:val="00391B29"/>
    <w:rsid w:val="00391C99"/>
    <w:rsid w:val="00391CF3"/>
    <w:rsid w:val="00391DE5"/>
    <w:rsid w:val="00391E31"/>
    <w:rsid w:val="00391EBE"/>
    <w:rsid w:val="00391F3F"/>
    <w:rsid w:val="0039228D"/>
    <w:rsid w:val="0039232C"/>
    <w:rsid w:val="00392405"/>
    <w:rsid w:val="0039241C"/>
    <w:rsid w:val="0039281E"/>
    <w:rsid w:val="00392880"/>
    <w:rsid w:val="00392B7E"/>
    <w:rsid w:val="00392CFF"/>
    <w:rsid w:val="00392F40"/>
    <w:rsid w:val="003931A7"/>
    <w:rsid w:val="003931D9"/>
    <w:rsid w:val="00393289"/>
    <w:rsid w:val="0039356A"/>
    <w:rsid w:val="00393871"/>
    <w:rsid w:val="003939BD"/>
    <w:rsid w:val="00393A9E"/>
    <w:rsid w:val="00393AF7"/>
    <w:rsid w:val="00393B4B"/>
    <w:rsid w:val="00393B85"/>
    <w:rsid w:val="00393BFA"/>
    <w:rsid w:val="00393E9E"/>
    <w:rsid w:val="00393F0F"/>
    <w:rsid w:val="00393FC0"/>
    <w:rsid w:val="00393FF5"/>
    <w:rsid w:val="00394104"/>
    <w:rsid w:val="0039446B"/>
    <w:rsid w:val="0039450A"/>
    <w:rsid w:val="0039451F"/>
    <w:rsid w:val="00394707"/>
    <w:rsid w:val="00394866"/>
    <w:rsid w:val="003949AF"/>
    <w:rsid w:val="00394B38"/>
    <w:rsid w:val="00394BEA"/>
    <w:rsid w:val="00394C31"/>
    <w:rsid w:val="003950C9"/>
    <w:rsid w:val="003955B0"/>
    <w:rsid w:val="0039575E"/>
    <w:rsid w:val="0039577F"/>
    <w:rsid w:val="0039585D"/>
    <w:rsid w:val="00395870"/>
    <w:rsid w:val="0039589F"/>
    <w:rsid w:val="003959BC"/>
    <w:rsid w:val="00395A8E"/>
    <w:rsid w:val="00395C5B"/>
    <w:rsid w:val="00395E47"/>
    <w:rsid w:val="00396470"/>
    <w:rsid w:val="0039667C"/>
    <w:rsid w:val="0039667F"/>
    <w:rsid w:val="003967F7"/>
    <w:rsid w:val="003968BF"/>
    <w:rsid w:val="00396978"/>
    <w:rsid w:val="003969EB"/>
    <w:rsid w:val="00396C19"/>
    <w:rsid w:val="00396D3C"/>
    <w:rsid w:val="00396FBC"/>
    <w:rsid w:val="00396FF3"/>
    <w:rsid w:val="0039726D"/>
    <w:rsid w:val="00397606"/>
    <w:rsid w:val="00397706"/>
    <w:rsid w:val="00397934"/>
    <w:rsid w:val="00397B5E"/>
    <w:rsid w:val="00397D98"/>
    <w:rsid w:val="00397E30"/>
    <w:rsid w:val="00397FDF"/>
    <w:rsid w:val="003A0150"/>
    <w:rsid w:val="003A036E"/>
    <w:rsid w:val="003A06B6"/>
    <w:rsid w:val="003A06E9"/>
    <w:rsid w:val="003A0743"/>
    <w:rsid w:val="003A0871"/>
    <w:rsid w:val="003A0CF9"/>
    <w:rsid w:val="003A0DE2"/>
    <w:rsid w:val="003A0E2E"/>
    <w:rsid w:val="003A0E6D"/>
    <w:rsid w:val="003A13D7"/>
    <w:rsid w:val="003A15EE"/>
    <w:rsid w:val="003A1D41"/>
    <w:rsid w:val="003A1E87"/>
    <w:rsid w:val="003A1F7A"/>
    <w:rsid w:val="003A1F7C"/>
    <w:rsid w:val="003A1FF4"/>
    <w:rsid w:val="003A21AC"/>
    <w:rsid w:val="003A225E"/>
    <w:rsid w:val="003A23F4"/>
    <w:rsid w:val="003A24EA"/>
    <w:rsid w:val="003A274B"/>
    <w:rsid w:val="003A292B"/>
    <w:rsid w:val="003A297F"/>
    <w:rsid w:val="003A2A54"/>
    <w:rsid w:val="003A3068"/>
    <w:rsid w:val="003A3109"/>
    <w:rsid w:val="003A317D"/>
    <w:rsid w:val="003A3219"/>
    <w:rsid w:val="003A3416"/>
    <w:rsid w:val="003A34BA"/>
    <w:rsid w:val="003A3534"/>
    <w:rsid w:val="003A3901"/>
    <w:rsid w:val="003A3918"/>
    <w:rsid w:val="003A3B1B"/>
    <w:rsid w:val="003A3DCD"/>
    <w:rsid w:val="003A3E6A"/>
    <w:rsid w:val="003A40AA"/>
    <w:rsid w:val="003A438B"/>
    <w:rsid w:val="003A43FD"/>
    <w:rsid w:val="003A449A"/>
    <w:rsid w:val="003A44E4"/>
    <w:rsid w:val="003A4568"/>
    <w:rsid w:val="003A45F2"/>
    <w:rsid w:val="003A4767"/>
    <w:rsid w:val="003A4795"/>
    <w:rsid w:val="003A4928"/>
    <w:rsid w:val="003A49B1"/>
    <w:rsid w:val="003A4AF0"/>
    <w:rsid w:val="003A4BE8"/>
    <w:rsid w:val="003A4C0E"/>
    <w:rsid w:val="003A4C23"/>
    <w:rsid w:val="003A4C8F"/>
    <w:rsid w:val="003A4D6B"/>
    <w:rsid w:val="003A4F74"/>
    <w:rsid w:val="003A5118"/>
    <w:rsid w:val="003A5148"/>
    <w:rsid w:val="003A5349"/>
    <w:rsid w:val="003A53FE"/>
    <w:rsid w:val="003A54AF"/>
    <w:rsid w:val="003A5668"/>
    <w:rsid w:val="003A56B7"/>
    <w:rsid w:val="003A56E0"/>
    <w:rsid w:val="003A56EC"/>
    <w:rsid w:val="003A57BA"/>
    <w:rsid w:val="003A5808"/>
    <w:rsid w:val="003A5BD4"/>
    <w:rsid w:val="003A5BE3"/>
    <w:rsid w:val="003A5C67"/>
    <w:rsid w:val="003A5C98"/>
    <w:rsid w:val="003A5DA7"/>
    <w:rsid w:val="003A5E20"/>
    <w:rsid w:val="003A5F03"/>
    <w:rsid w:val="003A65B7"/>
    <w:rsid w:val="003A6714"/>
    <w:rsid w:val="003A6847"/>
    <w:rsid w:val="003A6A85"/>
    <w:rsid w:val="003A6AED"/>
    <w:rsid w:val="003A6B26"/>
    <w:rsid w:val="003A6B27"/>
    <w:rsid w:val="003A6D26"/>
    <w:rsid w:val="003A7092"/>
    <w:rsid w:val="003A7243"/>
    <w:rsid w:val="003A72BE"/>
    <w:rsid w:val="003A73C9"/>
    <w:rsid w:val="003A74C2"/>
    <w:rsid w:val="003A78F9"/>
    <w:rsid w:val="003A795F"/>
    <w:rsid w:val="003A7AA1"/>
    <w:rsid w:val="003A7EBF"/>
    <w:rsid w:val="003B0051"/>
    <w:rsid w:val="003B01A1"/>
    <w:rsid w:val="003B01BE"/>
    <w:rsid w:val="003B01FB"/>
    <w:rsid w:val="003B0216"/>
    <w:rsid w:val="003B02B7"/>
    <w:rsid w:val="003B0359"/>
    <w:rsid w:val="003B064B"/>
    <w:rsid w:val="003B07F5"/>
    <w:rsid w:val="003B0BB1"/>
    <w:rsid w:val="003B0D3C"/>
    <w:rsid w:val="003B0E1F"/>
    <w:rsid w:val="003B0F30"/>
    <w:rsid w:val="003B10B8"/>
    <w:rsid w:val="003B1218"/>
    <w:rsid w:val="003B121B"/>
    <w:rsid w:val="003B1365"/>
    <w:rsid w:val="003B145F"/>
    <w:rsid w:val="003B1916"/>
    <w:rsid w:val="003B1992"/>
    <w:rsid w:val="003B1AA5"/>
    <w:rsid w:val="003B1B61"/>
    <w:rsid w:val="003B1B8B"/>
    <w:rsid w:val="003B1F0B"/>
    <w:rsid w:val="003B1FF7"/>
    <w:rsid w:val="003B2015"/>
    <w:rsid w:val="003B2029"/>
    <w:rsid w:val="003B22FB"/>
    <w:rsid w:val="003B232B"/>
    <w:rsid w:val="003B235F"/>
    <w:rsid w:val="003B2594"/>
    <w:rsid w:val="003B25D9"/>
    <w:rsid w:val="003B2758"/>
    <w:rsid w:val="003B2789"/>
    <w:rsid w:val="003B2921"/>
    <w:rsid w:val="003B2948"/>
    <w:rsid w:val="003B2966"/>
    <w:rsid w:val="003B2999"/>
    <w:rsid w:val="003B2BC8"/>
    <w:rsid w:val="003B2E10"/>
    <w:rsid w:val="003B3087"/>
    <w:rsid w:val="003B30A3"/>
    <w:rsid w:val="003B30BA"/>
    <w:rsid w:val="003B342B"/>
    <w:rsid w:val="003B3595"/>
    <w:rsid w:val="003B3619"/>
    <w:rsid w:val="003B3A1F"/>
    <w:rsid w:val="003B3A4F"/>
    <w:rsid w:val="003B3D3E"/>
    <w:rsid w:val="003B3DAD"/>
    <w:rsid w:val="003B3E93"/>
    <w:rsid w:val="003B3EFC"/>
    <w:rsid w:val="003B40FD"/>
    <w:rsid w:val="003B410D"/>
    <w:rsid w:val="003B42FA"/>
    <w:rsid w:val="003B449B"/>
    <w:rsid w:val="003B45A6"/>
    <w:rsid w:val="003B463C"/>
    <w:rsid w:val="003B47D7"/>
    <w:rsid w:val="003B4852"/>
    <w:rsid w:val="003B4CB6"/>
    <w:rsid w:val="003B4FDA"/>
    <w:rsid w:val="003B5002"/>
    <w:rsid w:val="003B51DB"/>
    <w:rsid w:val="003B565B"/>
    <w:rsid w:val="003B595A"/>
    <w:rsid w:val="003B61A9"/>
    <w:rsid w:val="003B61DD"/>
    <w:rsid w:val="003B633B"/>
    <w:rsid w:val="003B6386"/>
    <w:rsid w:val="003B63DF"/>
    <w:rsid w:val="003B6519"/>
    <w:rsid w:val="003B669F"/>
    <w:rsid w:val="003B6707"/>
    <w:rsid w:val="003B68C5"/>
    <w:rsid w:val="003B6D3D"/>
    <w:rsid w:val="003B6E26"/>
    <w:rsid w:val="003B6E2F"/>
    <w:rsid w:val="003B6E9E"/>
    <w:rsid w:val="003B6F04"/>
    <w:rsid w:val="003B6FBF"/>
    <w:rsid w:val="003B71CD"/>
    <w:rsid w:val="003B7432"/>
    <w:rsid w:val="003B750F"/>
    <w:rsid w:val="003B751A"/>
    <w:rsid w:val="003B757A"/>
    <w:rsid w:val="003B7842"/>
    <w:rsid w:val="003B78CD"/>
    <w:rsid w:val="003B7A88"/>
    <w:rsid w:val="003B7AF1"/>
    <w:rsid w:val="003B7B1D"/>
    <w:rsid w:val="003B7E02"/>
    <w:rsid w:val="003B7E78"/>
    <w:rsid w:val="003C0112"/>
    <w:rsid w:val="003C0172"/>
    <w:rsid w:val="003C02CD"/>
    <w:rsid w:val="003C04DD"/>
    <w:rsid w:val="003C069A"/>
    <w:rsid w:val="003C06D9"/>
    <w:rsid w:val="003C070B"/>
    <w:rsid w:val="003C0845"/>
    <w:rsid w:val="003C088B"/>
    <w:rsid w:val="003C08A7"/>
    <w:rsid w:val="003C0A0A"/>
    <w:rsid w:val="003C0C24"/>
    <w:rsid w:val="003C0D27"/>
    <w:rsid w:val="003C0FFC"/>
    <w:rsid w:val="003C111E"/>
    <w:rsid w:val="003C12E6"/>
    <w:rsid w:val="003C1443"/>
    <w:rsid w:val="003C157A"/>
    <w:rsid w:val="003C15C7"/>
    <w:rsid w:val="003C15E3"/>
    <w:rsid w:val="003C1743"/>
    <w:rsid w:val="003C179D"/>
    <w:rsid w:val="003C1AF9"/>
    <w:rsid w:val="003C1BE9"/>
    <w:rsid w:val="003C1C1F"/>
    <w:rsid w:val="003C1C36"/>
    <w:rsid w:val="003C1C5A"/>
    <w:rsid w:val="003C1C82"/>
    <w:rsid w:val="003C1DAB"/>
    <w:rsid w:val="003C1DC1"/>
    <w:rsid w:val="003C1F78"/>
    <w:rsid w:val="003C20EE"/>
    <w:rsid w:val="003C2102"/>
    <w:rsid w:val="003C23A7"/>
    <w:rsid w:val="003C2410"/>
    <w:rsid w:val="003C2A3A"/>
    <w:rsid w:val="003C2BF5"/>
    <w:rsid w:val="003C2CB0"/>
    <w:rsid w:val="003C2D88"/>
    <w:rsid w:val="003C2F9A"/>
    <w:rsid w:val="003C32A7"/>
    <w:rsid w:val="003C35D2"/>
    <w:rsid w:val="003C35DA"/>
    <w:rsid w:val="003C3759"/>
    <w:rsid w:val="003C38C9"/>
    <w:rsid w:val="003C3903"/>
    <w:rsid w:val="003C3CCD"/>
    <w:rsid w:val="003C3CEB"/>
    <w:rsid w:val="003C4542"/>
    <w:rsid w:val="003C4576"/>
    <w:rsid w:val="003C46D3"/>
    <w:rsid w:val="003C4787"/>
    <w:rsid w:val="003C481D"/>
    <w:rsid w:val="003C4828"/>
    <w:rsid w:val="003C4A8B"/>
    <w:rsid w:val="003C4BD4"/>
    <w:rsid w:val="003C4BDF"/>
    <w:rsid w:val="003C4C6B"/>
    <w:rsid w:val="003C5078"/>
    <w:rsid w:val="003C5087"/>
    <w:rsid w:val="003C50D5"/>
    <w:rsid w:val="003C5273"/>
    <w:rsid w:val="003C53DF"/>
    <w:rsid w:val="003C53E0"/>
    <w:rsid w:val="003C564D"/>
    <w:rsid w:val="003C589E"/>
    <w:rsid w:val="003C5B95"/>
    <w:rsid w:val="003C5F3F"/>
    <w:rsid w:val="003C6081"/>
    <w:rsid w:val="003C619F"/>
    <w:rsid w:val="003C62A5"/>
    <w:rsid w:val="003C63CE"/>
    <w:rsid w:val="003C65A0"/>
    <w:rsid w:val="003C6627"/>
    <w:rsid w:val="003C66F2"/>
    <w:rsid w:val="003C683C"/>
    <w:rsid w:val="003C6934"/>
    <w:rsid w:val="003C6AC8"/>
    <w:rsid w:val="003C6B89"/>
    <w:rsid w:val="003C6D89"/>
    <w:rsid w:val="003C6E0A"/>
    <w:rsid w:val="003C6E9B"/>
    <w:rsid w:val="003C6EA4"/>
    <w:rsid w:val="003C7133"/>
    <w:rsid w:val="003C7332"/>
    <w:rsid w:val="003C7369"/>
    <w:rsid w:val="003C7867"/>
    <w:rsid w:val="003C79AA"/>
    <w:rsid w:val="003C7A6A"/>
    <w:rsid w:val="003C7C6A"/>
    <w:rsid w:val="003C7D37"/>
    <w:rsid w:val="003C7F77"/>
    <w:rsid w:val="003D0195"/>
    <w:rsid w:val="003D01C9"/>
    <w:rsid w:val="003D025F"/>
    <w:rsid w:val="003D03E0"/>
    <w:rsid w:val="003D0501"/>
    <w:rsid w:val="003D06CC"/>
    <w:rsid w:val="003D083E"/>
    <w:rsid w:val="003D0C7C"/>
    <w:rsid w:val="003D0F1A"/>
    <w:rsid w:val="003D1168"/>
    <w:rsid w:val="003D1291"/>
    <w:rsid w:val="003D13A7"/>
    <w:rsid w:val="003D16BC"/>
    <w:rsid w:val="003D1760"/>
    <w:rsid w:val="003D1A9D"/>
    <w:rsid w:val="003D1ADF"/>
    <w:rsid w:val="003D1D78"/>
    <w:rsid w:val="003D1E48"/>
    <w:rsid w:val="003D1EDA"/>
    <w:rsid w:val="003D1F1E"/>
    <w:rsid w:val="003D207E"/>
    <w:rsid w:val="003D229E"/>
    <w:rsid w:val="003D2338"/>
    <w:rsid w:val="003D2378"/>
    <w:rsid w:val="003D2789"/>
    <w:rsid w:val="003D27F1"/>
    <w:rsid w:val="003D28BE"/>
    <w:rsid w:val="003D2A47"/>
    <w:rsid w:val="003D2A9D"/>
    <w:rsid w:val="003D2B5A"/>
    <w:rsid w:val="003D2D89"/>
    <w:rsid w:val="003D2DE4"/>
    <w:rsid w:val="003D2E49"/>
    <w:rsid w:val="003D2FB0"/>
    <w:rsid w:val="003D328A"/>
    <w:rsid w:val="003D3355"/>
    <w:rsid w:val="003D3645"/>
    <w:rsid w:val="003D3764"/>
    <w:rsid w:val="003D3821"/>
    <w:rsid w:val="003D385D"/>
    <w:rsid w:val="003D3A63"/>
    <w:rsid w:val="003D3DD2"/>
    <w:rsid w:val="003D3DFB"/>
    <w:rsid w:val="003D3F66"/>
    <w:rsid w:val="003D3FAC"/>
    <w:rsid w:val="003D4055"/>
    <w:rsid w:val="003D41F0"/>
    <w:rsid w:val="003D4402"/>
    <w:rsid w:val="003D44B2"/>
    <w:rsid w:val="003D44FE"/>
    <w:rsid w:val="003D46E2"/>
    <w:rsid w:val="003D486F"/>
    <w:rsid w:val="003D4B15"/>
    <w:rsid w:val="003D4C16"/>
    <w:rsid w:val="003D4C40"/>
    <w:rsid w:val="003D5460"/>
    <w:rsid w:val="003D5642"/>
    <w:rsid w:val="003D56FA"/>
    <w:rsid w:val="003D57ED"/>
    <w:rsid w:val="003D58A5"/>
    <w:rsid w:val="003D58E2"/>
    <w:rsid w:val="003D5B4B"/>
    <w:rsid w:val="003D5B7A"/>
    <w:rsid w:val="003D5BF8"/>
    <w:rsid w:val="003D5CC2"/>
    <w:rsid w:val="003D5CEE"/>
    <w:rsid w:val="003D5E2F"/>
    <w:rsid w:val="003D5F3A"/>
    <w:rsid w:val="003D5F88"/>
    <w:rsid w:val="003D5F8C"/>
    <w:rsid w:val="003D6060"/>
    <w:rsid w:val="003D641C"/>
    <w:rsid w:val="003D645F"/>
    <w:rsid w:val="003D64C8"/>
    <w:rsid w:val="003D6975"/>
    <w:rsid w:val="003D699D"/>
    <w:rsid w:val="003D6AEA"/>
    <w:rsid w:val="003D6CD9"/>
    <w:rsid w:val="003D6D4D"/>
    <w:rsid w:val="003D6E11"/>
    <w:rsid w:val="003D6F29"/>
    <w:rsid w:val="003D7155"/>
    <w:rsid w:val="003D7249"/>
    <w:rsid w:val="003D74AA"/>
    <w:rsid w:val="003D74BF"/>
    <w:rsid w:val="003D7734"/>
    <w:rsid w:val="003D77EE"/>
    <w:rsid w:val="003D7836"/>
    <w:rsid w:val="003D7837"/>
    <w:rsid w:val="003D7B63"/>
    <w:rsid w:val="003D7C2A"/>
    <w:rsid w:val="003D7FC1"/>
    <w:rsid w:val="003E0287"/>
    <w:rsid w:val="003E04DA"/>
    <w:rsid w:val="003E0622"/>
    <w:rsid w:val="003E06B7"/>
    <w:rsid w:val="003E0947"/>
    <w:rsid w:val="003E0957"/>
    <w:rsid w:val="003E0C7F"/>
    <w:rsid w:val="003E0DED"/>
    <w:rsid w:val="003E0E87"/>
    <w:rsid w:val="003E124A"/>
    <w:rsid w:val="003E13B4"/>
    <w:rsid w:val="003E1429"/>
    <w:rsid w:val="003E146F"/>
    <w:rsid w:val="003E1502"/>
    <w:rsid w:val="003E1627"/>
    <w:rsid w:val="003E16E6"/>
    <w:rsid w:val="003E1801"/>
    <w:rsid w:val="003E196B"/>
    <w:rsid w:val="003E1A01"/>
    <w:rsid w:val="003E1C50"/>
    <w:rsid w:val="003E1C6F"/>
    <w:rsid w:val="003E1CB0"/>
    <w:rsid w:val="003E1D24"/>
    <w:rsid w:val="003E1D4B"/>
    <w:rsid w:val="003E1D77"/>
    <w:rsid w:val="003E1E7E"/>
    <w:rsid w:val="003E1F84"/>
    <w:rsid w:val="003E2173"/>
    <w:rsid w:val="003E222D"/>
    <w:rsid w:val="003E2491"/>
    <w:rsid w:val="003E253E"/>
    <w:rsid w:val="003E2599"/>
    <w:rsid w:val="003E25BB"/>
    <w:rsid w:val="003E2612"/>
    <w:rsid w:val="003E27FF"/>
    <w:rsid w:val="003E29BB"/>
    <w:rsid w:val="003E2A34"/>
    <w:rsid w:val="003E3142"/>
    <w:rsid w:val="003E32BA"/>
    <w:rsid w:val="003E3A92"/>
    <w:rsid w:val="003E3CCE"/>
    <w:rsid w:val="003E3D2F"/>
    <w:rsid w:val="003E3D3A"/>
    <w:rsid w:val="003E3E25"/>
    <w:rsid w:val="003E3F09"/>
    <w:rsid w:val="003E4093"/>
    <w:rsid w:val="003E4436"/>
    <w:rsid w:val="003E49D8"/>
    <w:rsid w:val="003E4EAD"/>
    <w:rsid w:val="003E50CD"/>
    <w:rsid w:val="003E5498"/>
    <w:rsid w:val="003E54CE"/>
    <w:rsid w:val="003E55B2"/>
    <w:rsid w:val="003E56B2"/>
    <w:rsid w:val="003E57BD"/>
    <w:rsid w:val="003E58BE"/>
    <w:rsid w:val="003E59C4"/>
    <w:rsid w:val="003E5AF3"/>
    <w:rsid w:val="003E5CC7"/>
    <w:rsid w:val="003E5D55"/>
    <w:rsid w:val="003E5F51"/>
    <w:rsid w:val="003E6066"/>
    <w:rsid w:val="003E60BD"/>
    <w:rsid w:val="003E61A1"/>
    <w:rsid w:val="003E63C2"/>
    <w:rsid w:val="003E63ED"/>
    <w:rsid w:val="003E659C"/>
    <w:rsid w:val="003E6669"/>
    <w:rsid w:val="003E66C9"/>
    <w:rsid w:val="003E67F1"/>
    <w:rsid w:val="003E685D"/>
    <w:rsid w:val="003E6AE7"/>
    <w:rsid w:val="003E6B33"/>
    <w:rsid w:val="003E6CB5"/>
    <w:rsid w:val="003E6E19"/>
    <w:rsid w:val="003E6ECB"/>
    <w:rsid w:val="003E71EC"/>
    <w:rsid w:val="003E742E"/>
    <w:rsid w:val="003E757D"/>
    <w:rsid w:val="003E7593"/>
    <w:rsid w:val="003E7702"/>
    <w:rsid w:val="003E7793"/>
    <w:rsid w:val="003E77D3"/>
    <w:rsid w:val="003E7836"/>
    <w:rsid w:val="003E7B3B"/>
    <w:rsid w:val="003E7E19"/>
    <w:rsid w:val="003E7F25"/>
    <w:rsid w:val="003F00E4"/>
    <w:rsid w:val="003F031B"/>
    <w:rsid w:val="003F03ED"/>
    <w:rsid w:val="003F0469"/>
    <w:rsid w:val="003F0565"/>
    <w:rsid w:val="003F07A7"/>
    <w:rsid w:val="003F083C"/>
    <w:rsid w:val="003F0871"/>
    <w:rsid w:val="003F08AA"/>
    <w:rsid w:val="003F0927"/>
    <w:rsid w:val="003F09D8"/>
    <w:rsid w:val="003F0AAC"/>
    <w:rsid w:val="003F0ABA"/>
    <w:rsid w:val="003F0B57"/>
    <w:rsid w:val="003F0B90"/>
    <w:rsid w:val="003F0C2F"/>
    <w:rsid w:val="003F0EF9"/>
    <w:rsid w:val="003F0F98"/>
    <w:rsid w:val="003F1189"/>
    <w:rsid w:val="003F118D"/>
    <w:rsid w:val="003F13F9"/>
    <w:rsid w:val="003F18B8"/>
    <w:rsid w:val="003F1998"/>
    <w:rsid w:val="003F1C82"/>
    <w:rsid w:val="003F1D1B"/>
    <w:rsid w:val="003F1E8E"/>
    <w:rsid w:val="003F1FA8"/>
    <w:rsid w:val="003F22DC"/>
    <w:rsid w:val="003F244D"/>
    <w:rsid w:val="003F2497"/>
    <w:rsid w:val="003F24B8"/>
    <w:rsid w:val="003F26D7"/>
    <w:rsid w:val="003F2781"/>
    <w:rsid w:val="003F27DC"/>
    <w:rsid w:val="003F2AEB"/>
    <w:rsid w:val="003F2D7E"/>
    <w:rsid w:val="003F2E50"/>
    <w:rsid w:val="003F2FF0"/>
    <w:rsid w:val="003F33EF"/>
    <w:rsid w:val="003F35BC"/>
    <w:rsid w:val="003F3997"/>
    <w:rsid w:val="003F39DD"/>
    <w:rsid w:val="003F3BC5"/>
    <w:rsid w:val="003F3E88"/>
    <w:rsid w:val="003F40C2"/>
    <w:rsid w:val="003F4195"/>
    <w:rsid w:val="003F4252"/>
    <w:rsid w:val="003F46CD"/>
    <w:rsid w:val="003F494F"/>
    <w:rsid w:val="003F49A9"/>
    <w:rsid w:val="003F4A5F"/>
    <w:rsid w:val="003F4DF6"/>
    <w:rsid w:val="003F4F21"/>
    <w:rsid w:val="003F501D"/>
    <w:rsid w:val="003F5117"/>
    <w:rsid w:val="003F52E4"/>
    <w:rsid w:val="003F53F8"/>
    <w:rsid w:val="003F5430"/>
    <w:rsid w:val="003F550D"/>
    <w:rsid w:val="003F5608"/>
    <w:rsid w:val="003F5659"/>
    <w:rsid w:val="003F56C8"/>
    <w:rsid w:val="003F59C0"/>
    <w:rsid w:val="003F59F0"/>
    <w:rsid w:val="003F5B74"/>
    <w:rsid w:val="003F5BD6"/>
    <w:rsid w:val="003F5C9F"/>
    <w:rsid w:val="003F62C1"/>
    <w:rsid w:val="003F6474"/>
    <w:rsid w:val="003F64E7"/>
    <w:rsid w:val="003F658A"/>
    <w:rsid w:val="003F695D"/>
    <w:rsid w:val="003F698C"/>
    <w:rsid w:val="003F6BBA"/>
    <w:rsid w:val="003F700D"/>
    <w:rsid w:val="003F71C9"/>
    <w:rsid w:val="003F750A"/>
    <w:rsid w:val="003F7601"/>
    <w:rsid w:val="003F7670"/>
    <w:rsid w:val="003F76A4"/>
    <w:rsid w:val="003F77BD"/>
    <w:rsid w:val="003F78BA"/>
    <w:rsid w:val="003F79EB"/>
    <w:rsid w:val="003F7A9F"/>
    <w:rsid w:val="003F7AEE"/>
    <w:rsid w:val="003F7B1A"/>
    <w:rsid w:val="003F7C26"/>
    <w:rsid w:val="003F7C32"/>
    <w:rsid w:val="003F7ECC"/>
    <w:rsid w:val="003F7F2D"/>
    <w:rsid w:val="0040000A"/>
    <w:rsid w:val="0040036C"/>
    <w:rsid w:val="0040056F"/>
    <w:rsid w:val="004008C7"/>
    <w:rsid w:val="00400A66"/>
    <w:rsid w:val="00400A9C"/>
    <w:rsid w:val="00400DFC"/>
    <w:rsid w:val="00401182"/>
    <w:rsid w:val="00401226"/>
    <w:rsid w:val="004015A6"/>
    <w:rsid w:val="00401670"/>
    <w:rsid w:val="00401682"/>
    <w:rsid w:val="0040192C"/>
    <w:rsid w:val="004019A9"/>
    <w:rsid w:val="00401D8B"/>
    <w:rsid w:val="00401F1B"/>
    <w:rsid w:val="0040215D"/>
    <w:rsid w:val="0040249C"/>
    <w:rsid w:val="004024A1"/>
    <w:rsid w:val="004026D7"/>
    <w:rsid w:val="004028A0"/>
    <w:rsid w:val="004028E2"/>
    <w:rsid w:val="00402A0B"/>
    <w:rsid w:val="00402A4E"/>
    <w:rsid w:val="00402E9A"/>
    <w:rsid w:val="004030A8"/>
    <w:rsid w:val="004032F7"/>
    <w:rsid w:val="004033B5"/>
    <w:rsid w:val="0040344E"/>
    <w:rsid w:val="004036D1"/>
    <w:rsid w:val="004036DD"/>
    <w:rsid w:val="00403738"/>
    <w:rsid w:val="0040374D"/>
    <w:rsid w:val="00403758"/>
    <w:rsid w:val="004037CA"/>
    <w:rsid w:val="0040385D"/>
    <w:rsid w:val="004038AE"/>
    <w:rsid w:val="004038FA"/>
    <w:rsid w:val="004039CC"/>
    <w:rsid w:val="00403A7B"/>
    <w:rsid w:val="00403BFB"/>
    <w:rsid w:val="00403CD8"/>
    <w:rsid w:val="004040CE"/>
    <w:rsid w:val="00404119"/>
    <w:rsid w:val="00404188"/>
    <w:rsid w:val="0040437C"/>
    <w:rsid w:val="00404433"/>
    <w:rsid w:val="004044B7"/>
    <w:rsid w:val="004044C2"/>
    <w:rsid w:val="004045F8"/>
    <w:rsid w:val="00404602"/>
    <w:rsid w:val="004046A1"/>
    <w:rsid w:val="004046E4"/>
    <w:rsid w:val="004047B4"/>
    <w:rsid w:val="00404A15"/>
    <w:rsid w:val="00404E93"/>
    <w:rsid w:val="0040551E"/>
    <w:rsid w:val="00405637"/>
    <w:rsid w:val="0040563C"/>
    <w:rsid w:val="004058F2"/>
    <w:rsid w:val="00405A7C"/>
    <w:rsid w:val="00405C6E"/>
    <w:rsid w:val="00405D41"/>
    <w:rsid w:val="00405FBA"/>
    <w:rsid w:val="0040608E"/>
    <w:rsid w:val="00406119"/>
    <w:rsid w:val="004062D4"/>
    <w:rsid w:val="00406619"/>
    <w:rsid w:val="00406736"/>
    <w:rsid w:val="0040684D"/>
    <w:rsid w:val="0040699C"/>
    <w:rsid w:val="00406A1E"/>
    <w:rsid w:val="00406C98"/>
    <w:rsid w:val="004070E3"/>
    <w:rsid w:val="0040731E"/>
    <w:rsid w:val="00407352"/>
    <w:rsid w:val="00407372"/>
    <w:rsid w:val="0040767C"/>
    <w:rsid w:val="0040792E"/>
    <w:rsid w:val="00407AD9"/>
    <w:rsid w:val="00407B83"/>
    <w:rsid w:val="00407BE4"/>
    <w:rsid w:val="00407C5D"/>
    <w:rsid w:val="00407C61"/>
    <w:rsid w:val="00407E51"/>
    <w:rsid w:val="00410112"/>
    <w:rsid w:val="00410462"/>
    <w:rsid w:val="00410710"/>
    <w:rsid w:val="004108F4"/>
    <w:rsid w:val="00410A0D"/>
    <w:rsid w:val="00410DAF"/>
    <w:rsid w:val="00410EC7"/>
    <w:rsid w:val="004112FD"/>
    <w:rsid w:val="00411536"/>
    <w:rsid w:val="0041154A"/>
    <w:rsid w:val="00411593"/>
    <w:rsid w:val="004118F5"/>
    <w:rsid w:val="00411914"/>
    <w:rsid w:val="00411AAA"/>
    <w:rsid w:val="00411C9E"/>
    <w:rsid w:val="00411D1E"/>
    <w:rsid w:val="00411DF3"/>
    <w:rsid w:val="00411E8A"/>
    <w:rsid w:val="00411E91"/>
    <w:rsid w:val="00411E98"/>
    <w:rsid w:val="00411EAD"/>
    <w:rsid w:val="00411EF4"/>
    <w:rsid w:val="00411F63"/>
    <w:rsid w:val="0041201C"/>
    <w:rsid w:val="00412194"/>
    <w:rsid w:val="0041240D"/>
    <w:rsid w:val="0041270E"/>
    <w:rsid w:val="0041273C"/>
    <w:rsid w:val="004128F1"/>
    <w:rsid w:val="00412A26"/>
    <w:rsid w:val="00412B44"/>
    <w:rsid w:val="00412C1E"/>
    <w:rsid w:val="00412CE0"/>
    <w:rsid w:val="00412DE8"/>
    <w:rsid w:val="00412EBF"/>
    <w:rsid w:val="00412FED"/>
    <w:rsid w:val="00413084"/>
    <w:rsid w:val="00413091"/>
    <w:rsid w:val="00413328"/>
    <w:rsid w:val="00413329"/>
    <w:rsid w:val="004133A1"/>
    <w:rsid w:val="0041345F"/>
    <w:rsid w:val="0041376B"/>
    <w:rsid w:val="0041380F"/>
    <w:rsid w:val="00413BBC"/>
    <w:rsid w:val="00413C46"/>
    <w:rsid w:val="00413C51"/>
    <w:rsid w:val="00413C79"/>
    <w:rsid w:val="00413DAC"/>
    <w:rsid w:val="00413E33"/>
    <w:rsid w:val="00413E84"/>
    <w:rsid w:val="00413EA3"/>
    <w:rsid w:val="00413F26"/>
    <w:rsid w:val="00414189"/>
    <w:rsid w:val="0041429A"/>
    <w:rsid w:val="004143EE"/>
    <w:rsid w:val="00414424"/>
    <w:rsid w:val="00414441"/>
    <w:rsid w:val="00414492"/>
    <w:rsid w:val="00414510"/>
    <w:rsid w:val="0041455F"/>
    <w:rsid w:val="00414828"/>
    <w:rsid w:val="00414855"/>
    <w:rsid w:val="00414963"/>
    <w:rsid w:val="004149BA"/>
    <w:rsid w:val="00414E8B"/>
    <w:rsid w:val="00414EBD"/>
    <w:rsid w:val="004151EE"/>
    <w:rsid w:val="0041576C"/>
    <w:rsid w:val="004157FD"/>
    <w:rsid w:val="004159EC"/>
    <w:rsid w:val="00415A58"/>
    <w:rsid w:val="00415B08"/>
    <w:rsid w:val="00415C44"/>
    <w:rsid w:val="00415CC4"/>
    <w:rsid w:val="00415FF2"/>
    <w:rsid w:val="00416811"/>
    <w:rsid w:val="00416983"/>
    <w:rsid w:val="00416C39"/>
    <w:rsid w:val="00416D02"/>
    <w:rsid w:val="00416D47"/>
    <w:rsid w:val="00416E11"/>
    <w:rsid w:val="00416E18"/>
    <w:rsid w:val="00417050"/>
    <w:rsid w:val="00417264"/>
    <w:rsid w:val="0041727E"/>
    <w:rsid w:val="004172D8"/>
    <w:rsid w:val="0041733B"/>
    <w:rsid w:val="00417367"/>
    <w:rsid w:val="004174E5"/>
    <w:rsid w:val="004175E4"/>
    <w:rsid w:val="004175F3"/>
    <w:rsid w:val="0041794F"/>
    <w:rsid w:val="00417955"/>
    <w:rsid w:val="004179DC"/>
    <w:rsid w:val="00417DC1"/>
    <w:rsid w:val="00417E99"/>
    <w:rsid w:val="0041A865"/>
    <w:rsid w:val="00420231"/>
    <w:rsid w:val="004202D3"/>
    <w:rsid w:val="00420428"/>
    <w:rsid w:val="00420679"/>
    <w:rsid w:val="004206C4"/>
    <w:rsid w:val="004209E1"/>
    <w:rsid w:val="00420D43"/>
    <w:rsid w:val="00420E76"/>
    <w:rsid w:val="00420F4F"/>
    <w:rsid w:val="004212CA"/>
    <w:rsid w:val="00421337"/>
    <w:rsid w:val="004213CC"/>
    <w:rsid w:val="0042147D"/>
    <w:rsid w:val="004214B6"/>
    <w:rsid w:val="0042175A"/>
    <w:rsid w:val="00421822"/>
    <w:rsid w:val="00421829"/>
    <w:rsid w:val="004218B1"/>
    <w:rsid w:val="00421BD0"/>
    <w:rsid w:val="00421DFB"/>
    <w:rsid w:val="00421F3A"/>
    <w:rsid w:val="004220D6"/>
    <w:rsid w:val="004225D1"/>
    <w:rsid w:val="0042292B"/>
    <w:rsid w:val="0042297E"/>
    <w:rsid w:val="00422AE2"/>
    <w:rsid w:val="00422B69"/>
    <w:rsid w:val="00422F97"/>
    <w:rsid w:val="00422FA4"/>
    <w:rsid w:val="00423410"/>
    <w:rsid w:val="00423488"/>
    <w:rsid w:val="00423649"/>
    <w:rsid w:val="004237EC"/>
    <w:rsid w:val="00423891"/>
    <w:rsid w:val="00423919"/>
    <w:rsid w:val="00423A43"/>
    <w:rsid w:val="00423A80"/>
    <w:rsid w:val="00423ABE"/>
    <w:rsid w:val="00423AD4"/>
    <w:rsid w:val="00423F83"/>
    <w:rsid w:val="0042401B"/>
    <w:rsid w:val="00424065"/>
    <w:rsid w:val="00424092"/>
    <w:rsid w:val="00424183"/>
    <w:rsid w:val="00424330"/>
    <w:rsid w:val="004244BA"/>
    <w:rsid w:val="004244C0"/>
    <w:rsid w:val="004244D1"/>
    <w:rsid w:val="00424808"/>
    <w:rsid w:val="004248F3"/>
    <w:rsid w:val="004249A3"/>
    <w:rsid w:val="004249AC"/>
    <w:rsid w:val="004249C1"/>
    <w:rsid w:val="00424B55"/>
    <w:rsid w:val="00424EDC"/>
    <w:rsid w:val="00424F65"/>
    <w:rsid w:val="004250C2"/>
    <w:rsid w:val="0042538A"/>
    <w:rsid w:val="004254C2"/>
    <w:rsid w:val="00425566"/>
    <w:rsid w:val="004255A5"/>
    <w:rsid w:val="0042562F"/>
    <w:rsid w:val="00425729"/>
    <w:rsid w:val="00425926"/>
    <w:rsid w:val="00425AEA"/>
    <w:rsid w:val="00425B26"/>
    <w:rsid w:val="00425CB4"/>
    <w:rsid w:val="00425D02"/>
    <w:rsid w:val="004260B1"/>
    <w:rsid w:val="004260F3"/>
    <w:rsid w:val="004263C4"/>
    <w:rsid w:val="004263C6"/>
    <w:rsid w:val="004263D4"/>
    <w:rsid w:val="00426542"/>
    <w:rsid w:val="004266B8"/>
    <w:rsid w:val="00426736"/>
    <w:rsid w:val="00426863"/>
    <w:rsid w:val="004269AF"/>
    <w:rsid w:val="00426B06"/>
    <w:rsid w:val="00426BD5"/>
    <w:rsid w:val="00426C4A"/>
    <w:rsid w:val="00426E7A"/>
    <w:rsid w:val="00427220"/>
    <w:rsid w:val="00427299"/>
    <w:rsid w:val="0042773B"/>
    <w:rsid w:val="00427A34"/>
    <w:rsid w:val="00427CB1"/>
    <w:rsid w:val="00427D1D"/>
    <w:rsid w:val="00427D71"/>
    <w:rsid w:val="00427FBF"/>
    <w:rsid w:val="00430257"/>
    <w:rsid w:val="0043035F"/>
    <w:rsid w:val="0043078B"/>
    <w:rsid w:val="0043087E"/>
    <w:rsid w:val="0043097A"/>
    <w:rsid w:val="00430A90"/>
    <w:rsid w:val="00430AFC"/>
    <w:rsid w:val="00430B40"/>
    <w:rsid w:val="00430FA5"/>
    <w:rsid w:val="0043112C"/>
    <w:rsid w:val="004311A2"/>
    <w:rsid w:val="004311B6"/>
    <w:rsid w:val="004316A9"/>
    <w:rsid w:val="00431809"/>
    <w:rsid w:val="00431889"/>
    <w:rsid w:val="00431A11"/>
    <w:rsid w:val="00431AF3"/>
    <w:rsid w:val="00431D9C"/>
    <w:rsid w:val="00431DDA"/>
    <w:rsid w:val="00432557"/>
    <w:rsid w:val="004325E0"/>
    <w:rsid w:val="00432993"/>
    <w:rsid w:val="00432996"/>
    <w:rsid w:val="004329CA"/>
    <w:rsid w:val="00432A48"/>
    <w:rsid w:val="00432A92"/>
    <w:rsid w:val="00432ABE"/>
    <w:rsid w:val="00432DAC"/>
    <w:rsid w:val="00433021"/>
    <w:rsid w:val="00433039"/>
    <w:rsid w:val="00433087"/>
    <w:rsid w:val="0043311F"/>
    <w:rsid w:val="0043317D"/>
    <w:rsid w:val="0043329B"/>
    <w:rsid w:val="004332D2"/>
    <w:rsid w:val="00433385"/>
    <w:rsid w:val="004333C3"/>
    <w:rsid w:val="004334A3"/>
    <w:rsid w:val="0043381A"/>
    <w:rsid w:val="0043386D"/>
    <w:rsid w:val="004338DC"/>
    <w:rsid w:val="0043397F"/>
    <w:rsid w:val="00433CBB"/>
    <w:rsid w:val="00433E6E"/>
    <w:rsid w:val="00433F4F"/>
    <w:rsid w:val="00434087"/>
    <w:rsid w:val="004341A3"/>
    <w:rsid w:val="004346F3"/>
    <w:rsid w:val="00434912"/>
    <w:rsid w:val="00434C17"/>
    <w:rsid w:val="00434C74"/>
    <w:rsid w:val="00434E3C"/>
    <w:rsid w:val="00434F02"/>
    <w:rsid w:val="004350BC"/>
    <w:rsid w:val="00435170"/>
    <w:rsid w:val="004351D8"/>
    <w:rsid w:val="00435252"/>
    <w:rsid w:val="004352F0"/>
    <w:rsid w:val="004353E6"/>
    <w:rsid w:val="004358F2"/>
    <w:rsid w:val="00435BB2"/>
    <w:rsid w:val="00435C78"/>
    <w:rsid w:val="00436272"/>
    <w:rsid w:val="004364B8"/>
    <w:rsid w:val="00436783"/>
    <w:rsid w:val="004367AD"/>
    <w:rsid w:val="004367F4"/>
    <w:rsid w:val="00436850"/>
    <w:rsid w:val="00436D1B"/>
    <w:rsid w:val="00436EBF"/>
    <w:rsid w:val="00436EDD"/>
    <w:rsid w:val="00436FD0"/>
    <w:rsid w:val="004371C8"/>
    <w:rsid w:val="004371ED"/>
    <w:rsid w:val="00437631"/>
    <w:rsid w:val="00437822"/>
    <w:rsid w:val="004378F6"/>
    <w:rsid w:val="00437921"/>
    <w:rsid w:val="00437B66"/>
    <w:rsid w:val="00437C92"/>
    <w:rsid w:val="00437D74"/>
    <w:rsid w:val="00437D8E"/>
    <w:rsid w:val="00437FDE"/>
    <w:rsid w:val="00440161"/>
    <w:rsid w:val="00440324"/>
    <w:rsid w:val="00440352"/>
    <w:rsid w:val="004404AB"/>
    <w:rsid w:val="00440625"/>
    <w:rsid w:val="004406FC"/>
    <w:rsid w:val="0044088F"/>
    <w:rsid w:val="004409C6"/>
    <w:rsid w:val="00440B44"/>
    <w:rsid w:val="00440D63"/>
    <w:rsid w:val="00440E90"/>
    <w:rsid w:val="00440EED"/>
    <w:rsid w:val="00440FA2"/>
    <w:rsid w:val="0044138C"/>
    <w:rsid w:val="0044146F"/>
    <w:rsid w:val="0044153D"/>
    <w:rsid w:val="00441780"/>
    <w:rsid w:val="004419E2"/>
    <w:rsid w:val="00441BD1"/>
    <w:rsid w:val="00441C33"/>
    <w:rsid w:val="00441D07"/>
    <w:rsid w:val="004420B3"/>
    <w:rsid w:val="004420EA"/>
    <w:rsid w:val="004420F0"/>
    <w:rsid w:val="004423A7"/>
    <w:rsid w:val="004423CB"/>
    <w:rsid w:val="004423D0"/>
    <w:rsid w:val="00442704"/>
    <w:rsid w:val="00442819"/>
    <w:rsid w:val="00442B0B"/>
    <w:rsid w:val="00442B84"/>
    <w:rsid w:val="00442C24"/>
    <w:rsid w:val="00442C32"/>
    <w:rsid w:val="00442DE5"/>
    <w:rsid w:val="00443090"/>
    <w:rsid w:val="00443097"/>
    <w:rsid w:val="00443266"/>
    <w:rsid w:val="004434D1"/>
    <w:rsid w:val="004437F4"/>
    <w:rsid w:val="004438D9"/>
    <w:rsid w:val="00443C79"/>
    <w:rsid w:val="00443CA3"/>
    <w:rsid w:val="00443CA5"/>
    <w:rsid w:val="00443CFE"/>
    <w:rsid w:val="00443DCB"/>
    <w:rsid w:val="00443F88"/>
    <w:rsid w:val="0044401D"/>
    <w:rsid w:val="00444187"/>
    <w:rsid w:val="0044444A"/>
    <w:rsid w:val="004444BF"/>
    <w:rsid w:val="00444571"/>
    <w:rsid w:val="0044465D"/>
    <w:rsid w:val="004448A7"/>
    <w:rsid w:val="004448D0"/>
    <w:rsid w:val="0044490B"/>
    <w:rsid w:val="00444A44"/>
    <w:rsid w:val="00444A92"/>
    <w:rsid w:val="00444B51"/>
    <w:rsid w:val="00444BF7"/>
    <w:rsid w:val="00444D0B"/>
    <w:rsid w:val="00444F78"/>
    <w:rsid w:val="0044505D"/>
    <w:rsid w:val="0044524E"/>
    <w:rsid w:val="00445281"/>
    <w:rsid w:val="004454C9"/>
    <w:rsid w:val="0044584B"/>
    <w:rsid w:val="0044590C"/>
    <w:rsid w:val="00445A27"/>
    <w:rsid w:val="00445BD1"/>
    <w:rsid w:val="00445BD2"/>
    <w:rsid w:val="00445E2E"/>
    <w:rsid w:val="00445E52"/>
    <w:rsid w:val="00445F27"/>
    <w:rsid w:val="00445F69"/>
    <w:rsid w:val="00445FBD"/>
    <w:rsid w:val="0044622E"/>
    <w:rsid w:val="0044627C"/>
    <w:rsid w:val="00446297"/>
    <w:rsid w:val="004464A1"/>
    <w:rsid w:val="004466BC"/>
    <w:rsid w:val="004466D9"/>
    <w:rsid w:val="0044674C"/>
    <w:rsid w:val="00446996"/>
    <w:rsid w:val="00446B5E"/>
    <w:rsid w:val="00446C2C"/>
    <w:rsid w:val="00447019"/>
    <w:rsid w:val="004473FA"/>
    <w:rsid w:val="00447423"/>
    <w:rsid w:val="00447520"/>
    <w:rsid w:val="00447547"/>
    <w:rsid w:val="004477CA"/>
    <w:rsid w:val="00447804"/>
    <w:rsid w:val="00447909"/>
    <w:rsid w:val="00447EE0"/>
    <w:rsid w:val="00450077"/>
    <w:rsid w:val="0045022C"/>
    <w:rsid w:val="004503E0"/>
    <w:rsid w:val="0045042A"/>
    <w:rsid w:val="004506F5"/>
    <w:rsid w:val="00450804"/>
    <w:rsid w:val="004508EC"/>
    <w:rsid w:val="00450ACE"/>
    <w:rsid w:val="00450BBD"/>
    <w:rsid w:val="00450E57"/>
    <w:rsid w:val="004511D8"/>
    <w:rsid w:val="004513FE"/>
    <w:rsid w:val="00451462"/>
    <w:rsid w:val="004517A7"/>
    <w:rsid w:val="00451870"/>
    <w:rsid w:val="004519D1"/>
    <w:rsid w:val="00451B92"/>
    <w:rsid w:val="00451D14"/>
    <w:rsid w:val="00451DF4"/>
    <w:rsid w:val="0045212C"/>
    <w:rsid w:val="0045217B"/>
    <w:rsid w:val="004524F0"/>
    <w:rsid w:val="004525BA"/>
    <w:rsid w:val="004527CD"/>
    <w:rsid w:val="004527ED"/>
    <w:rsid w:val="0045287B"/>
    <w:rsid w:val="00452911"/>
    <w:rsid w:val="004529D2"/>
    <w:rsid w:val="00452BD0"/>
    <w:rsid w:val="00452ECF"/>
    <w:rsid w:val="00453128"/>
    <w:rsid w:val="0045312B"/>
    <w:rsid w:val="0045327C"/>
    <w:rsid w:val="00453359"/>
    <w:rsid w:val="004533E1"/>
    <w:rsid w:val="0045344E"/>
    <w:rsid w:val="00453518"/>
    <w:rsid w:val="00453589"/>
    <w:rsid w:val="004536D5"/>
    <w:rsid w:val="004536E5"/>
    <w:rsid w:val="00453735"/>
    <w:rsid w:val="00453C44"/>
    <w:rsid w:val="00453CF6"/>
    <w:rsid w:val="00453E04"/>
    <w:rsid w:val="00454100"/>
    <w:rsid w:val="0045414F"/>
    <w:rsid w:val="004545DC"/>
    <w:rsid w:val="00454670"/>
    <w:rsid w:val="00454688"/>
    <w:rsid w:val="00454850"/>
    <w:rsid w:val="00454963"/>
    <w:rsid w:val="00454B41"/>
    <w:rsid w:val="00454CF6"/>
    <w:rsid w:val="00455232"/>
    <w:rsid w:val="00455245"/>
    <w:rsid w:val="00455317"/>
    <w:rsid w:val="004555AD"/>
    <w:rsid w:val="00455977"/>
    <w:rsid w:val="004559F9"/>
    <w:rsid w:val="00455B54"/>
    <w:rsid w:val="00455C8C"/>
    <w:rsid w:val="00455E58"/>
    <w:rsid w:val="004560F1"/>
    <w:rsid w:val="004562AB"/>
    <w:rsid w:val="00456482"/>
    <w:rsid w:val="0045665F"/>
    <w:rsid w:val="004567F4"/>
    <w:rsid w:val="00456A88"/>
    <w:rsid w:val="00456E29"/>
    <w:rsid w:val="0045713A"/>
    <w:rsid w:val="0045715F"/>
    <w:rsid w:val="004571CD"/>
    <w:rsid w:val="004572F4"/>
    <w:rsid w:val="00457359"/>
    <w:rsid w:val="00457385"/>
    <w:rsid w:val="0045748C"/>
    <w:rsid w:val="00457584"/>
    <w:rsid w:val="004575B3"/>
    <w:rsid w:val="004577A2"/>
    <w:rsid w:val="0045798A"/>
    <w:rsid w:val="00457A57"/>
    <w:rsid w:val="00457B0A"/>
    <w:rsid w:val="00457B62"/>
    <w:rsid w:val="00457E4E"/>
    <w:rsid w:val="00460035"/>
    <w:rsid w:val="00460103"/>
    <w:rsid w:val="0046013C"/>
    <w:rsid w:val="004601C8"/>
    <w:rsid w:val="00460248"/>
    <w:rsid w:val="00460434"/>
    <w:rsid w:val="0046058B"/>
    <w:rsid w:val="00460699"/>
    <w:rsid w:val="004608B7"/>
    <w:rsid w:val="00460A25"/>
    <w:rsid w:val="00460BF1"/>
    <w:rsid w:val="00460D5F"/>
    <w:rsid w:val="00460DD3"/>
    <w:rsid w:val="00460F0F"/>
    <w:rsid w:val="00460F34"/>
    <w:rsid w:val="00460F9B"/>
    <w:rsid w:val="0046104A"/>
    <w:rsid w:val="004610EB"/>
    <w:rsid w:val="00461214"/>
    <w:rsid w:val="00461431"/>
    <w:rsid w:val="00461468"/>
    <w:rsid w:val="0046153F"/>
    <w:rsid w:val="004616B6"/>
    <w:rsid w:val="0046186B"/>
    <w:rsid w:val="00461916"/>
    <w:rsid w:val="00461CA7"/>
    <w:rsid w:val="00461FEF"/>
    <w:rsid w:val="0046205E"/>
    <w:rsid w:val="00462128"/>
    <w:rsid w:val="00462139"/>
    <w:rsid w:val="00462145"/>
    <w:rsid w:val="004627F7"/>
    <w:rsid w:val="00462967"/>
    <w:rsid w:val="00462FDD"/>
    <w:rsid w:val="00463051"/>
    <w:rsid w:val="00463372"/>
    <w:rsid w:val="004633BA"/>
    <w:rsid w:val="004636D7"/>
    <w:rsid w:val="0046408B"/>
    <w:rsid w:val="0046452C"/>
    <w:rsid w:val="0046459D"/>
    <w:rsid w:val="0046474F"/>
    <w:rsid w:val="00464815"/>
    <w:rsid w:val="0046483C"/>
    <w:rsid w:val="004648B6"/>
    <w:rsid w:val="00464A75"/>
    <w:rsid w:val="00464D6E"/>
    <w:rsid w:val="00464E05"/>
    <w:rsid w:val="00464F2D"/>
    <w:rsid w:val="00464F8E"/>
    <w:rsid w:val="00464FA6"/>
    <w:rsid w:val="0046514D"/>
    <w:rsid w:val="00465304"/>
    <w:rsid w:val="00465596"/>
    <w:rsid w:val="00465604"/>
    <w:rsid w:val="0046566F"/>
    <w:rsid w:val="004657D1"/>
    <w:rsid w:val="00465907"/>
    <w:rsid w:val="00465A24"/>
    <w:rsid w:val="00465A9E"/>
    <w:rsid w:val="00465B83"/>
    <w:rsid w:val="00465BF9"/>
    <w:rsid w:val="00465CB1"/>
    <w:rsid w:val="00466024"/>
    <w:rsid w:val="004662DD"/>
    <w:rsid w:val="00466385"/>
    <w:rsid w:val="00466449"/>
    <w:rsid w:val="004667E4"/>
    <w:rsid w:val="004668F3"/>
    <w:rsid w:val="00466ABD"/>
    <w:rsid w:val="00466D66"/>
    <w:rsid w:val="00466DA7"/>
    <w:rsid w:val="00466DF4"/>
    <w:rsid w:val="00466E21"/>
    <w:rsid w:val="00466F2E"/>
    <w:rsid w:val="0046709A"/>
    <w:rsid w:val="0046746B"/>
    <w:rsid w:val="0046754F"/>
    <w:rsid w:val="00467CC4"/>
    <w:rsid w:val="00467CF5"/>
    <w:rsid w:val="00467D09"/>
    <w:rsid w:val="00470018"/>
    <w:rsid w:val="00470362"/>
    <w:rsid w:val="00470607"/>
    <w:rsid w:val="00470828"/>
    <w:rsid w:val="004708A8"/>
    <w:rsid w:val="00470BEB"/>
    <w:rsid w:val="00470C2D"/>
    <w:rsid w:val="00470C32"/>
    <w:rsid w:val="00470C64"/>
    <w:rsid w:val="00470D0C"/>
    <w:rsid w:val="00470E42"/>
    <w:rsid w:val="00470F7F"/>
    <w:rsid w:val="00471073"/>
    <w:rsid w:val="0047121B"/>
    <w:rsid w:val="0047133D"/>
    <w:rsid w:val="00471462"/>
    <w:rsid w:val="004716C7"/>
    <w:rsid w:val="00471807"/>
    <w:rsid w:val="0047189D"/>
    <w:rsid w:val="00471C71"/>
    <w:rsid w:val="00471D1F"/>
    <w:rsid w:val="00471DA6"/>
    <w:rsid w:val="00471EB7"/>
    <w:rsid w:val="00472077"/>
    <w:rsid w:val="0047212E"/>
    <w:rsid w:val="00472441"/>
    <w:rsid w:val="004724DE"/>
    <w:rsid w:val="004725A9"/>
    <w:rsid w:val="004726F3"/>
    <w:rsid w:val="00472846"/>
    <w:rsid w:val="00472A51"/>
    <w:rsid w:val="00472A8A"/>
    <w:rsid w:val="00472B41"/>
    <w:rsid w:val="00472B42"/>
    <w:rsid w:val="00472BC1"/>
    <w:rsid w:val="00472CC4"/>
    <w:rsid w:val="00472D14"/>
    <w:rsid w:val="00472F5D"/>
    <w:rsid w:val="00473435"/>
    <w:rsid w:val="0047345E"/>
    <w:rsid w:val="004736F2"/>
    <w:rsid w:val="004739D3"/>
    <w:rsid w:val="004739D9"/>
    <w:rsid w:val="00473B47"/>
    <w:rsid w:val="00473FCD"/>
    <w:rsid w:val="004741B7"/>
    <w:rsid w:val="004742D6"/>
    <w:rsid w:val="0047431A"/>
    <w:rsid w:val="004745AE"/>
    <w:rsid w:val="004745B8"/>
    <w:rsid w:val="0047467E"/>
    <w:rsid w:val="004747D9"/>
    <w:rsid w:val="00474803"/>
    <w:rsid w:val="00474808"/>
    <w:rsid w:val="00474B98"/>
    <w:rsid w:val="00474F81"/>
    <w:rsid w:val="00475005"/>
    <w:rsid w:val="0047509F"/>
    <w:rsid w:val="0047539B"/>
    <w:rsid w:val="004754B2"/>
    <w:rsid w:val="004754F1"/>
    <w:rsid w:val="00475567"/>
    <w:rsid w:val="004755F1"/>
    <w:rsid w:val="0047566F"/>
    <w:rsid w:val="00475A6E"/>
    <w:rsid w:val="00475ADF"/>
    <w:rsid w:val="00475AE1"/>
    <w:rsid w:val="00475B91"/>
    <w:rsid w:val="00475BAE"/>
    <w:rsid w:val="00475D7B"/>
    <w:rsid w:val="00475DF6"/>
    <w:rsid w:val="00475EBD"/>
    <w:rsid w:val="00476190"/>
    <w:rsid w:val="00476218"/>
    <w:rsid w:val="0047637D"/>
    <w:rsid w:val="004764FF"/>
    <w:rsid w:val="004766A0"/>
    <w:rsid w:val="00476980"/>
    <w:rsid w:val="004769FE"/>
    <w:rsid w:val="00476BCC"/>
    <w:rsid w:val="00476CD4"/>
    <w:rsid w:val="00477213"/>
    <w:rsid w:val="004772BA"/>
    <w:rsid w:val="004773AF"/>
    <w:rsid w:val="00477614"/>
    <w:rsid w:val="00477900"/>
    <w:rsid w:val="004779CB"/>
    <w:rsid w:val="00477B15"/>
    <w:rsid w:val="00477B41"/>
    <w:rsid w:val="00477BA2"/>
    <w:rsid w:val="00477C1A"/>
    <w:rsid w:val="00477D09"/>
    <w:rsid w:val="00477DE2"/>
    <w:rsid w:val="00477E70"/>
    <w:rsid w:val="0047F8DD"/>
    <w:rsid w:val="00480596"/>
    <w:rsid w:val="004805CF"/>
    <w:rsid w:val="00480840"/>
    <w:rsid w:val="00480887"/>
    <w:rsid w:val="00480B18"/>
    <w:rsid w:val="00480B58"/>
    <w:rsid w:val="00480EAA"/>
    <w:rsid w:val="00480FC3"/>
    <w:rsid w:val="00481250"/>
    <w:rsid w:val="0048127B"/>
    <w:rsid w:val="00481370"/>
    <w:rsid w:val="00481435"/>
    <w:rsid w:val="00481456"/>
    <w:rsid w:val="00481697"/>
    <w:rsid w:val="00481844"/>
    <w:rsid w:val="0048197A"/>
    <w:rsid w:val="004819B3"/>
    <w:rsid w:val="00481A3F"/>
    <w:rsid w:val="00481B59"/>
    <w:rsid w:val="00481B9A"/>
    <w:rsid w:val="00481BE3"/>
    <w:rsid w:val="00481DC2"/>
    <w:rsid w:val="00481DE0"/>
    <w:rsid w:val="00481ED4"/>
    <w:rsid w:val="00481F16"/>
    <w:rsid w:val="00481FBC"/>
    <w:rsid w:val="004820CF"/>
    <w:rsid w:val="00482136"/>
    <w:rsid w:val="0048216C"/>
    <w:rsid w:val="00482341"/>
    <w:rsid w:val="004823E4"/>
    <w:rsid w:val="0048248B"/>
    <w:rsid w:val="004824B3"/>
    <w:rsid w:val="004825EE"/>
    <w:rsid w:val="00482611"/>
    <w:rsid w:val="0048281F"/>
    <w:rsid w:val="00482918"/>
    <w:rsid w:val="0048293B"/>
    <w:rsid w:val="00482C89"/>
    <w:rsid w:val="00482C8C"/>
    <w:rsid w:val="00482E75"/>
    <w:rsid w:val="00482EC1"/>
    <w:rsid w:val="00482FD1"/>
    <w:rsid w:val="00482FD6"/>
    <w:rsid w:val="00482FEF"/>
    <w:rsid w:val="00483081"/>
    <w:rsid w:val="00483303"/>
    <w:rsid w:val="00483335"/>
    <w:rsid w:val="00483389"/>
    <w:rsid w:val="0048339F"/>
    <w:rsid w:val="004834D2"/>
    <w:rsid w:val="00483529"/>
    <w:rsid w:val="00483638"/>
    <w:rsid w:val="00483650"/>
    <w:rsid w:val="004837A1"/>
    <w:rsid w:val="004838D0"/>
    <w:rsid w:val="004839AA"/>
    <w:rsid w:val="004839F3"/>
    <w:rsid w:val="00483C77"/>
    <w:rsid w:val="00483D94"/>
    <w:rsid w:val="00483E3C"/>
    <w:rsid w:val="00483E76"/>
    <w:rsid w:val="0048412D"/>
    <w:rsid w:val="0048426A"/>
    <w:rsid w:val="004842F1"/>
    <w:rsid w:val="004843A2"/>
    <w:rsid w:val="004845BE"/>
    <w:rsid w:val="0048464C"/>
    <w:rsid w:val="00484803"/>
    <w:rsid w:val="0048495E"/>
    <w:rsid w:val="004849DB"/>
    <w:rsid w:val="00484B23"/>
    <w:rsid w:val="00484D35"/>
    <w:rsid w:val="00484FB4"/>
    <w:rsid w:val="004850A7"/>
    <w:rsid w:val="00485168"/>
    <w:rsid w:val="0048517E"/>
    <w:rsid w:val="004854B4"/>
    <w:rsid w:val="00485531"/>
    <w:rsid w:val="0048567A"/>
    <w:rsid w:val="00485685"/>
    <w:rsid w:val="004856F7"/>
    <w:rsid w:val="00485781"/>
    <w:rsid w:val="0048578C"/>
    <w:rsid w:val="004857CA"/>
    <w:rsid w:val="0048587C"/>
    <w:rsid w:val="00485982"/>
    <w:rsid w:val="00485B5C"/>
    <w:rsid w:val="00485B87"/>
    <w:rsid w:val="00485D86"/>
    <w:rsid w:val="00486195"/>
    <w:rsid w:val="004866E4"/>
    <w:rsid w:val="004867E4"/>
    <w:rsid w:val="00486ADF"/>
    <w:rsid w:val="00486C99"/>
    <w:rsid w:val="00486E01"/>
    <w:rsid w:val="00486E7F"/>
    <w:rsid w:val="00486F15"/>
    <w:rsid w:val="00487002"/>
    <w:rsid w:val="00487037"/>
    <w:rsid w:val="004871AC"/>
    <w:rsid w:val="00487271"/>
    <w:rsid w:val="00487294"/>
    <w:rsid w:val="0048732A"/>
    <w:rsid w:val="0048738B"/>
    <w:rsid w:val="0048740F"/>
    <w:rsid w:val="0048744F"/>
    <w:rsid w:val="00487521"/>
    <w:rsid w:val="004875E1"/>
    <w:rsid w:val="00487662"/>
    <w:rsid w:val="0048797A"/>
    <w:rsid w:val="0048799C"/>
    <w:rsid w:val="00487A41"/>
    <w:rsid w:val="00487ABB"/>
    <w:rsid w:val="00487B9E"/>
    <w:rsid w:val="00487CE6"/>
    <w:rsid w:val="00487D0D"/>
    <w:rsid w:val="00487E90"/>
    <w:rsid w:val="0049007B"/>
    <w:rsid w:val="0049028C"/>
    <w:rsid w:val="00490446"/>
    <w:rsid w:val="004906AA"/>
    <w:rsid w:val="004907F7"/>
    <w:rsid w:val="0049087A"/>
    <w:rsid w:val="00490AE0"/>
    <w:rsid w:val="00490B95"/>
    <w:rsid w:val="00490BF9"/>
    <w:rsid w:val="00490DD0"/>
    <w:rsid w:val="00491011"/>
    <w:rsid w:val="00491272"/>
    <w:rsid w:val="0049151B"/>
    <w:rsid w:val="00491582"/>
    <w:rsid w:val="00491586"/>
    <w:rsid w:val="004916B7"/>
    <w:rsid w:val="0049171C"/>
    <w:rsid w:val="00491757"/>
    <w:rsid w:val="0049187C"/>
    <w:rsid w:val="00491885"/>
    <w:rsid w:val="004918BA"/>
    <w:rsid w:val="0049197C"/>
    <w:rsid w:val="00491B63"/>
    <w:rsid w:val="00491E4B"/>
    <w:rsid w:val="00491F0E"/>
    <w:rsid w:val="0049200E"/>
    <w:rsid w:val="0049237A"/>
    <w:rsid w:val="00492499"/>
    <w:rsid w:val="004927A6"/>
    <w:rsid w:val="00492822"/>
    <w:rsid w:val="004928AD"/>
    <w:rsid w:val="004929B4"/>
    <w:rsid w:val="004929D4"/>
    <w:rsid w:val="00492E4B"/>
    <w:rsid w:val="00493063"/>
    <w:rsid w:val="004930FA"/>
    <w:rsid w:val="004935B2"/>
    <w:rsid w:val="004937DA"/>
    <w:rsid w:val="0049391D"/>
    <w:rsid w:val="00493C74"/>
    <w:rsid w:val="00493CB9"/>
    <w:rsid w:val="00493E69"/>
    <w:rsid w:val="00493F1E"/>
    <w:rsid w:val="00493F84"/>
    <w:rsid w:val="00494272"/>
    <w:rsid w:val="004942B3"/>
    <w:rsid w:val="004942FC"/>
    <w:rsid w:val="004945C5"/>
    <w:rsid w:val="00494647"/>
    <w:rsid w:val="00494652"/>
    <w:rsid w:val="004946A0"/>
    <w:rsid w:val="004946DC"/>
    <w:rsid w:val="004947C4"/>
    <w:rsid w:val="004947FA"/>
    <w:rsid w:val="00494959"/>
    <w:rsid w:val="00494B98"/>
    <w:rsid w:val="004952C3"/>
    <w:rsid w:val="0049536B"/>
    <w:rsid w:val="0049539C"/>
    <w:rsid w:val="00495533"/>
    <w:rsid w:val="00495583"/>
    <w:rsid w:val="00495663"/>
    <w:rsid w:val="004957AE"/>
    <w:rsid w:val="00495BAB"/>
    <w:rsid w:val="00495C4B"/>
    <w:rsid w:val="00495D26"/>
    <w:rsid w:val="00495DAB"/>
    <w:rsid w:val="00495DD6"/>
    <w:rsid w:val="00495E64"/>
    <w:rsid w:val="00495E82"/>
    <w:rsid w:val="00495F6C"/>
    <w:rsid w:val="00495F7A"/>
    <w:rsid w:val="0049644D"/>
    <w:rsid w:val="00496462"/>
    <w:rsid w:val="00496486"/>
    <w:rsid w:val="00496647"/>
    <w:rsid w:val="004966BE"/>
    <w:rsid w:val="0049676D"/>
    <w:rsid w:val="00496A03"/>
    <w:rsid w:val="00496A23"/>
    <w:rsid w:val="00496A53"/>
    <w:rsid w:val="00496C50"/>
    <w:rsid w:val="00496EE5"/>
    <w:rsid w:val="00496F74"/>
    <w:rsid w:val="00497231"/>
    <w:rsid w:val="00497268"/>
    <w:rsid w:val="00497479"/>
    <w:rsid w:val="004976A3"/>
    <w:rsid w:val="00497A5B"/>
    <w:rsid w:val="00497C8B"/>
    <w:rsid w:val="00497CEA"/>
    <w:rsid w:val="00497FA0"/>
    <w:rsid w:val="004A00BD"/>
    <w:rsid w:val="004A068D"/>
    <w:rsid w:val="004A0781"/>
    <w:rsid w:val="004A0B2E"/>
    <w:rsid w:val="004A0B66"/>
    <w:rsid w:val="004A0E62"/>
    <w:rsid w:val="004A0EB6"/>
    <w:rsid w:val="004A0F0E"/>
    <w:rsid w:val="004A1139"/>
    <w:rsid w:val="004A1208"/>
    <w:rsid w:val="004A151F"/>
    <w:rsid w:val="004A16CA"/>
    <w:rsid w:val="004A18F8"/>
    <w:rsid w:val="004A1948"/>
    <w:rsid w:val="004A19E7"/>
    <w:rsid w:val="004A1AD9"/>
    <w:rsid w:val="004A1DEC"/>
    <w:rsid w:val="004A1F05"/>
    <w:rsid w:val="004A1FC8"/>
    <w:rsid w:val="004A217E"/>
    <w:rsid w:val="004A21F1"/>
    <w:rsid w:val="004A21FC"/>
    <w:rsid w:val="004A2271"/>
    <w:rsid w:val="004A2359"/>
    <w:rsid w:val="004A246B"/>
    <w:rsid w:val="004A24DA"/>
    <w:rsid w:val="004A2530"/>
    <w:rsid w:val="004A27AC"/>
    <w:rsid w:val="004A28B2"/>
    <w:rsid w:val="004A2984"/>
    <w:rsid w:val="004A29D4"/>
    <w:rsid w:val="004A2C50"/>
    <w:rsid w:val="004A2CEA"/>
    <w:rsid w:val="004A2DA6"/>
    <w:rsid w:val="004A2E14"/>
    <w:rsid w:val="004A2FBA"/>
    <w:rsid w:val="004A3042"/>
    <w:rsid w:val="004A307E"/>
    <w:rsid w:val="004A3306"/>
    <w:rsid w:val="004A33C7"/>
    <w:rsid w:val="004A3621"/>
    <w:rsid w:val="004A37B7"/>
    <w:rsid w:val="004A3960"/>
    <w:rsid w:val="004A3D6B"/>
    <w:rsid w:val="004A3F96"/>
    <w:rsid w:val="004A3FC2"/>
    <w:rsid w:val="004A4066"/>
    <w:rsid w:val="004A4129"/>
    <w:rsid w:val="004A41D7"/>
    <w:rsid w:val="004A4398"/>
    <w:rsid w:val="004A443B"/>
    <w:rsid w:val="004A4940"/>
    <w:rsid w:val="004A4B77"/>
    <w:rsid w:val="004A4C1C"/>
    <w:rsid w:val="004A5056"/>
    <w:rsid w:val="004A5092"/>
    <w:rsid w:val="004A5123"/>
    <w:rsid w:val="004A5142"/>
    <w:rsid w:val="004A527E"/>
    <w:rsid w:val="004A53C5"/>
    <w:rsid w:val="004A5786"/>
    <w:rsid w:val="004A57BC"/>
    <w:rsid w:val="004A5836"/>
    <w:rsid w:val="004A5A78"/>
    <w:rsid w:val="004A5AAF"/>
    <w:rsid w:val="004A5ACA"/>
    <w:rsid w:val="004A5BAD"/>
    <w:rsid w:val="004A5C46"/>
    <w:rsid w:val="004A5C6C"/>
    <w:rsid w:val="004A5CAA"/>
    <w:rsid w:val="004A5FFA"/>
    <w:rsid w:val="004A6228"/>
    <w:rsid w:val="004A623B"/>
    <w:rsid w:val="004A6345"/>
    <w:rsid w:val="004A63EF"/>
    <w:rsid w:val="004A65B3"/>
    <w:rsid w:val="004A669E"/>
    <w:rsid w:val="004A66CF"/>
    <w:rsid w:val="004A6876"/>
    <w:rsid w:val="004A68EC"/>
    <w:rsid w:val="004A68FC"/>
    <w:rsid w:val="004A6939"/>
    <w:rsid w:val="004A6A21"/>
    <w:rsid w:val="004A6ABE"/>
    <w:rsid w:val="004A6B59"/>
    <w:rsid w:val="004A6C82"/>
    <w:rsid w:val="004A6E2F"/>
    <w:rsid w:val="004A7014"/>
    <w:rsid w:val="004A7094"/>
    <w:rsid w:val="004A71BA"/>
    <w:rsid w:val="004A72AD"/>
    <w:rsid w:val="004A7427"/>
    <w:rsid w:val="004A7476"/>
    <w:rsid w:val="004A7896"/>
    <w:rsid w:val="004A7AB3"/>
    <w:rsid w:val="004A7AFF"/>
    <w:rsid w:val="004A7C47"/>
    <w:rsid w:val="004B01F6"/>
    <w:rsid w:val="004B0446"/>
    <w:rsid w:val="004B046A"/>
    <w:rsid w:val="004B0511"/>
    <w:rsid w:val="004B05D7"/>
    <w:rsid w:val="004B0AB2"/>
    <w:rsid w:val="004B0B67"/>
    <w:rsid w:val="004B0F35"/>
    <w:rsid w:val="004B0F73"/>
    <w:rsid w:val="004B0FED"/>
    <w:rsid w:val="004B11F0"/>
    <w:rsid w:val="004B122F"/>
    <w:rsid w:val="004B1301"/>
    <w:rsid w:val="004B1361"/>
    <w:rsid w:val="004B13BA"/>
    <w:rsid w:val="004B13C3"/>
    <w:rsid w:val="004B197E"/>
    <w:rsid w:val="004B1C08"/>
    <w:rsid w:val="004B1E07"/>
    <w:rsid w:val="004B2011"/>
    <w:rsid w:val="004B217C"/>
    <w:rsid w:val="004B22CE"/>
    <w:rsid w:val="004B22E6"/>
    <w:rsid w:val="004B26D3"/>
    <w:rsid w:val="004B2737"/>
    <w:rsid w:val="004B27B9"/>
    <w:rsid w:val="004B29E1"/>
    <w:rsid w:val="004B29F9"/>
    <w:rsid w:val="004B29FC"/>
    <w:rsid w:val="004B2B2B"/>
    <w:rsid w:val="004B2C3B"/>
    <w:rsid w:val="004B2E31"/>
    <w:rsid w:val="004B2EAB"/>
    <w:rsid w:val="004B2FF4"/>
    <w:rsid w:val="004B3239"/>
    <w:rsid w:val="004B3403"/>
    <w:rsid w:val="004B3A01"/>
    <w:rsid w:val="004B3AAA"/>
    <w:rsid w:val="004B3B95"/>
    <w:rsid w:val="004B3E27"/>
    <w:rsid w:val="004B4033"/>
    <w:rsid w:val="004B4241"/>
    <w:rsid w:val="004B438B"/>
    <w:rsid w:val="004B4677"/>
    <w:rsid w:val="004B4753"/>
    <w:rsid w:val="004B47C3"/>
    <w:rsid w:val="004B47FB"/>
    <w:rsid w:val="004B49A9"/>
    <w:rsid w:val="004B49EF"/>
    <w:rsid w:val="004B49F2"/>
    <w:rsid w:val="004B4A2A"/>
    <w:rsid w:val="004B4ABB"/>
    <w:rsid w:val="004B4C4E"/>
    <w:rsid w:val="004B4D77"/>
    <w:rsid w:val="004B4EDB"/>
    <w:rsid w:val="004B519D"/>
    <w:rsid w:val="004B52E6"/>
    <w:rsid w:val="004B5754"/>
    <w:rsid w:val="004B57B0"/>
    <w:rsid w:val="004B59DF"/>
    <w:rsid w:val="004B5B6F"/>
    <w:rsid w:val="004B5B7A"/>
    <w:rsid w:val="004B5DDA"/>
    <w:rsid w:val="004B5F03"/>
    <w:rsid w:val="004B5F65"/>
    <w:rsid w:val="004B61C0"/>
    <w:rsid w:val="004B6219"/>
    <w:rsid w:val="004B63D9"/>
    <w:rsid w:val="004B6458"/>
    <w:rsid w:val="004B64BC"/>
    <w:rsid w:val="004B65C4"/>
    <w:rsid w:val="004B67BB"/>
    <w:rsid w:val="004B6A2B"/>
    <w:rsid w:val="004B6A7E"/>
    <w:rsid w:val="004B6B97"/>
    <w:rsid w:val="004B7063"/>
    <w:rsid w:val="004B7231"/>
    <w:rsid w:val="004B7338"/>
    <w:rsid w:val="004B742A"/>
    <w:rsid w:val="004B7469"/>
    <w:rsid w:val="004B76D4"/>
    <w:rsid w:val="004B76E8"/>
    <w:rsid w:val="004B7748"/>
    <w:rsid w:val="004B780C"/>
    <w:rsid w:val="004B7893"/>
    <w:rsid w:val="004B792F"/>
    <w:rsid w:val="004B7B3D"/>
    <w:rsid w:val="004B7CC2"/>
    <w:rsid w:val="004B7DD9"/>
    <w:rsid w:val="004B7EFC"/>
    <w:rsid w:val="004B7FF1"/>
    <w:rsid w:val="004C0186"/>
    <w:rsid w:val="004C063E"/>
    <w:rsid w:val="004C0678"/>
    <w:rsid w:val="004C0706"/>
    <w:rsid w:val="004C0831"/>
    <w:rsid w:val="004C0C91"/>
    <w:rsid w:val="004C0DA9"/>
    <w:rsid w:val="004C0E99"/>
    <w:rsid w:val="004C1018"/>
    <w:rsid w:val="004C10C0"/>
    <w:rsid w:val="004C1217"/>
    <w:rsid w:val="004C126F"/>
    <w:rsid w:val="004C13BF"/>
    <w:rsid w:val="004C13C6"/>
    <w:rsid w:val="004C14A6"/>
    <w:rsid w:val="004C1611"/>
    <w:rsid w:val="004C1714"/>
    <w:rsid w:val="004C178A"/>
    <w:rsid w:val="004C19C4"/>
    <w:rsid w:val="004C1A32"/>
    <w:rsid w:val="004C1D3B"/>
    <w:rsid w:val="004C2066"/>
    <w:rsid w:val="004C209F"/>
    <w:rsid w:val="004C214C"/>
    <w:rsid w:val="004C21AA"/>
    <w:rsid w:val="004C21F5"/>
    <w:rsid w:val="004C227C"/>
    <w:rsid w:val="004C22C8"/>
    <w:rsid w:val="004C22D1"/>
    <w:rsid w:val="004C244C"/>
    <w:rsid w:val="004C2A27"/>
    <w:rsid w:val="004C2C3C"/>
    <w:rsid w:val="004C2C66"/>
    <w:rsid w:val="004C2D53"/>
    <w:rsid w:val="004C2E76"/>
    <w:rsid w:val="004C3165"/>
    <w:rsid w:val="004C31FF"/>
    <w:rsid w:val="004C3591"/>
    <w:rsid w:val="004C35C9"/>
    <w:rsid w:val="004C36DC"/>
    <w:rsid w:val="004C36DF"/>
    <w:rsid w:val="004C38B7"/>
    <w:rsid w:val="004C3AFA"/>
    <w:rsid w:val="004C3BBC"/>
    <w:rsid w:val="004C3C57"/>
    <w:rsid w:val="004C3D27"/>
    <w:rsid w:val="004C4031"/>
    <w:rsid w:val="004C415B"/>
    <w:rsid w:val="004C42A7"/>
    <w:rsid w:val="004C43CE"/>
    <w:rsid w:val="004C44BC"/>
    <w:rsid w:val="004C44DF"/>
    <w:rsid w:val="004C46B3"/>
    <w:rsid w:val="004C46F8"/>
    <w:rsid w:val="004C4C52"/>
    <w:rsid w:val="004C4DE8"/>
    <w:rsid w:val="004C54D8"/>
    <w:rsid w:val="004C5DF5"/>
    <w:rsid w:val="004C5E99"/>
    <w:rsid w:val="004C5EFD"/>
    <w:rsid w:val="004C5F4C"/>
    <w:rsid w:val="004C61AB"/>
    <w:rsid w:val="004C6316"/>
    <w:rsid w:val="004C63A8"/>
    <w:rsid w:val="004C6420"/>
    <w:rsid w:val="004C6423"/>
    <w:rsid w:val="004C6601"/>
    <w:rsid w:val="004C6794"/>
    <w:rsid w:val="004C6812"/>
    <w:rsid w:val="004C6A32"/>
    <w:rsid w:val="004C6A66"/>
    <w:rsid w:val="004C6BC9"/>
    <w:rsid w:val="004C6BD8"/>
    <w:rsid w:val="004C6C4B"/>
    <w:rsid w:val="004C6D8C"/>
    <w:rsid w:val="004C6D9C"/>
    <w:rsid w:val="004C6E0E"/>
    <w:rsid w:val="004C6EB0"/>
    <w:rsid w:val="004C70CA"/>
    <w:rsid w:val="004C7292"/>
    <w:rsid w:val="004C7348"/>
    <w:rsid w:val="004C77CD"/>
    <w:rsid w:val="004C79CE"/>
    <w:rsid w:val="004C7A1C"/>
    <w:rsid w:val="004C7AD2"/>
    <w:rsid w:val="004C7AE2"/>
    <w:rsid w:val="004C7CF8"/>
    <w:rsid w:val="004D0019"/>
    <w:rsid w:val="004D001C"/>
    <w:rsid w:val="004D006A"/>
    <w:rsid w:val="004D02B9"/>
    <w:rsid w:val="004D0400"/>
    <w:rsid w:val="004D06D0"/>
    <w:rsid w:val="004D07AA"/>
    <w:rsid w:val="004D0A51"/>
    <w:rsid w:val="004D0A8B"/>
    <w:rsid w:val="004D0BCC"/>
    <w:rsid w:val="004D0CE7"/>
    <w:rsid w:val="004D0EBF"/>
    <w:rsid w:val="004D117B"/>
    <w:rsid w:val="004D1382"/>
    <w:rsid w:val="004D150C"/>
    <w:rsid w:val="004D151F"/>
    <w:rsid w:val="004D1545"/>
    <w:rsid w:val="004D16D0"/>
    <w:rsid w:val="004D175A"/>
    <w:rsid w:val="004D1BDC"/>
    <w:rsid w:val="004D1D23"/>
    <w:rsid w:val="004D1DAA"/>
    <w:rsid w:val="004D1DB0"/>
    <w:rsid w:val="004D2059"/>
    <w:rsid w:val="004D2089"/>
    <w:rsid w:val="004D2261"/>
    <w:rsid w:val="004D2414"/>
    <w:rsid w:val="004D24AF"/>
    <w:rsid w:val="004D253E"/>
    <w:rsid w:val="004D27A3"/>
    <w:rsid w:val="004D27AB"/>
    <w:rsid w:val="004D290A"/>
    <w:rsid w:val="004D2A08"/>
    <w:rsid w:val="004D2A24"/>
    <w:rsid w:val="004D2BA7"/>
    <w:rsid w:val="004D2CCF"/>
    <w:rsid w:val="004D2DA9"/>
    <w:rsid w:val="004D3089"/>
    <w:rsid w:val="004D30AB"/>
    <w:rsid w:val="004D30F5"/>
    <w:rsid w:val="004D3551"/>
    <w:rsid w:val="004D357A"/>
    <w:rsid w:val="004D35EE"/>
    <w:rsid w:val="004D36AB"/>
    <w:rsid w:val="004D36AE"/>
    <w:rsid w:val="004D378F"/>
    <w:rsid w:val="004D3794"/>
    <w:rsid w:val="004D39F2"/>
    <w:rsid w:val="004D3A5A"/>
    <w:rsid w:val="004D3A8C"/>
    <w:rsid w:val="004D3A9C"/>
    <w:rsid w:val="004D3E95"/>
    <w:rsid w:val="004D3EAB"/>
    <w:rsid w:val="004D3EB3"/>
    <w:rsid w:val="004D3F34"/>
    <w:rsid w:val="004D3F9B"/>
    <w:rsid w:val="004D3FA9"/>
    <w:rsid w:val="004D401C"/>
    <w:rsid w:val="004D4046"/>
    <w:rsid w:val="004D40C6"/>
    <w:rsid w:val="004D41CC"/>
    <w:rsid w:val="004D42E3"/>
    <w:rsid w:val="004D4785"/>
    <w:rsid w:val="004D4A0A"/>
    <w:rsid w:val="004D4A4D"/>
    <w:rsid w:val="004D4CE4"/>
    <w:rsid w:val="004D4DEA"/>
    <w:rsid w:val="004D50C2"/>
    <w:rsid w:val="004D50EE"/>
    <w:rsid w:val="004D519D"/>
    <w:rsid w:val="004D536F"/>
    <w:rsid w:val="004D5564"/>
    <w:rsid w:val="004D585D"/>
    <w:rsid w:val="004D58E0"/>
    <w:rsid w:val="004D5CB6"/>
    <w:rsid w:val="004D5D3F"/>
    <w:rsid w:val="004D5DCA"/>
    <w:rsid w:val="004D5F0C"/>
    <w:rsid w:val="004D5F17"/>
    <w:rsid w:val="004D620F"/>
    <w:rsid w:val="004D652D"/>
    <w:rsid w:val="004D6886"/>
    <w:rsid w:val="004D6AF0"/>
    <w:rsid w:val="004D6C4D"/>
    <w:rsid w:val="004D6C8A"/>
    <w:rsid w:val="004D7091"/>
    <w:rsid w:val="004D7122"/>
    <w:rsid w:val="004D7238"/>
    <w:rsid w:val="004D72D2"/>
    <w:rsid w:val="004D773B"/>
    <w:rsid w:val="004D776F"/>
    <w:rsid w:val="004D7AF3"/>
    <w:rsid w:val="004D7B11"/>
    <w:rsid w:val="004D7C12"/>
    <w:rsid w:val="004D7C1C"/>
    <w:rsid w:val="004D7F75"/>
    <w:rsid w:val="004E02AB"/>
    <w:rsid w:val="004E06E4"/>
    <w:rsid w:val="004E09DC"/>
    <w:rsid w:val="004E0C82"/>
    <w:rsid w:val="004E0D23"/>
    <w:rsid w:val="004E10A2"/>
    <w:rsid w:val="004E10EC"/>
    <w:rsid w:val="004E1259"/>
    <w:rsid w:val="004E133C"/>
    <w:rsid w:val="004E1383"/>
    <w:rsid w:val="004E13FC"/>
    <w:rsid w:val="004E1544"/>
    <w:rsid w:val="004E1562"/>
    <w:rsid w:val="004E15C4"/>
    <w:rsid w:val="004E1694"/>
    <w:rsid w:val="004E187F"/>
    <w:rsid w:val="004E1B12"/>
    <w:rsid w:val="004E1DF7"/>
    <w:rsid w:val="004E1EC1"/>
    <w:rsid w:val="004E1F37"/>
    <w:rsid w:val="004E1FBE"/>
    <w:rsid w:val="004E200A"/>
    <w:rsid w:val="004E21FD"/>
    <w:rsid w:val="004E2310"/>
    <w:rsid w:val="004E232D"/>
    <w:rsid w:val="004E26B1"/>
    <w:rsid w:val="004E28FC"/>
    <w:rsid w:val="004E29EE"/>
    <w:rsid w:val="004E2A10"/>
    <w:rsid w:val="004E2E88"/>
    <w:rsid w:val="004E30EC"/>
    <w:rsid w:val="004E3124"/>
    <w:rsid w:val="004E3292"/>
    <w:rsid w:val="004E32E5"/>
    <w:rsid w:val="004E32F6"/>
    <w:rsid w:val="004E34B8"/>
    <w:rsid w:val="004E34BF"/>
    <w:rsid w:val="004E35C9"/>
    <w:rsid w:val="004E3675"/>
    <w:rsid w:val="004E376D"/>
    <w:rsid w:val="004E3859"/>
    <w:rsid w:val="004E393C"/>
    <w:rsid w:val="004E3C6C"/>
    <w:rsid w:val="004E3D88"/>
    <w:rsid w:val="004E3DA8"/>
    <w:rsid w:val="004E3E35"/>
    <w:rsid w:val="004E4097"/>
    <w:rsid w:val="004E413C"/>
    <w:rsid w:val="004E41D7"/>
    <w:rsid w:val="004E4251"/>
    <w:rsid w:val="004E42E4"/>
    <w:rsid w:val="004E441B"/>
    <w:rsid w:val="004E470C"/>
    <w:rsid w:val="004E48FA"/>
    <w:rsid w:val="004E4984"/>
    <w:rsid w:val="004E4B32"/>
    <w:rsid w:val="004E4BD0"/>
    <w:rsid w:val="004E4BD9"/>
    <w:rsid w:val="004E4DDA"/>
    <w:rsid w:val="004E4E66"/>
    <w:rsid w:val="004E4E71"/>
    <w:rsid w:val="004E4FCD"/>
    <w:rsid w:val="004E504E"/>
    <w:rsid w:val="004E52A0"/>
    <w:rsid w:val="004E5326"/>
    <w:rsid w:val="004E5487"/>
    <w:rsid w:val="004E548D"/>
    <w:rsid w:val="004E5512"/>
    <w:rsid w:val="004E57B9"/>
    <w:rsid w:val="004E5876"/>
    <w:rsid w:val="004E5CE2"/>
    <w:rsid w:val="004E5D0C"/>
    <w:rsid w:val="004E5DD8"/>
    <w:rsid w:val="004E5DDC"/>
    <w:rsid w:val="004E5ED6"/>
    <w:rsid w:val="004E61FA"/>
    <w:rsid w:val="004E64B4"/>
    <w:rsid w:val="004E658C"/>
    <w:rsid w:val="004E67DC"/>
    <w:rsid w:val="004E68BD"/>
    <w:rsid w:val="004E6B32"/>
    <w:rsid w:val="004E6C45"/>
    <w:rsid w:val="004E6D12"/>
    <w:rsid w:val="004E721B"/>
    <w:rsid w:val="004E72FA"/>
    <w:rsid w:val="004E7600"/>
    <w:rsid w:val="004E7BC2"/>
    <w:rsid w:val="004E7CCE"/>
    <w:rsid w:val="004E7DED"/>
    <w:rsid w:val="004F0089"/>
    <w:rsid w:val="004F012F"/>
    <w:rsid w:val="004F0267"/>
    <w:rsid w:val="004F0484"/>
    <w:rsid w:val="004F0594"/>
    <w:rsid w:val="004F069B"/>
    <w:rsid w:val="004F06F3"/>
    <w:rsid w:val="004F0A93"/>
    <w:rsid w:val="004F0A99"/>
    <w:rsid w:val="004F0AE9"/>
    <w:rsid w:val="004F0C8B"/>
    <w:rsid w:val="004F1071"/>
    <w:rsid w:val="004F10A9"/>
    <w:rsid w:val="004F11C3"/>
    <w:rsid w:val="004F1260"/>
    <w:rsid w:val="004F15F4"/>
    <w:rsid w:val="004F1875"/>
    <w:rsid w:val="004F1966"/>
    <w:rsid w:val="004F19E4"/>
    <w:rsid w:val="004F1BD5"/>
    <w:rsid w:val="004F1C4D"/>
    <w:rsid w:val="004F1F2E"/>
    <w:rsid w:val="004F217F"/>
    <w:rsid w:val="004F2227"/>
    <w:rsid w:val="004F2320"/>
    <w:rsid w:val="004F24E0"/>
    <w:rsid w:val="004F26D8"/>
    <w:rsid w:val="004F292F"/>
    <w:rsid w:val="004F2B69"/>
    <w:rsid w:val="004F2CE0"/>
    <w:rsid w:val="004F2E4A"/>
    <w:rsid w:val="004F2EFA"/>
    <w:rsid w:val="004F2FBD"/>
    <w:rsid w:val="004F3014"/>
    <w:rsid w:val="004F305D"/>
    <w:rsid w:val="004F32E3"/>
    <w:rsid w:val="004F32F8"/>
    <w:rsid w:val="004F3657"/>
    <w:rsid w:val="004F36F1"/>
    <w:rsid w:val="004F391A"/>
    <w:rsid w:val="004F3A18"/>
    <w:rsid w:val="004F3A26"/>
    <w:rsid w:val="004F3AC3"/>
    <w:rsid w:val="004F3D60"/>
    <w:rsid w:val="004F3DDB"/>
    <w:rsid w:val="004F3FF9"/>
    <w:rsid w:val="004F41A7"/>
    <w:rsid w:val="004F4518"/>
    <w:rsid w:val="004F4658"/>
    <w:rsid w:val="004F4779"/>
    <w:rsid w:val="004F4A0E"/>
    <w:rsid w:val="004F4A5F"/>
    <w:rsid w:val="004F4DD3"/>
    <w:rsid w:val="004F4F72"/>
    <w:rsid w:val="004F4FC2"/>
    <w:rsid w:val="004F5014"/>
    <w:rsid w:val="004F5418"/>
    <w:rsid w:val="004F54FD"/>
    <w:rsid w:val="004F5564"/>
    <w:rsid w:val="004F560D"/>
    <w:rsid w:val="004F560E"/>
    <w:rsid w:val="004F562F"/>
    <w:rsid w:val="004F568A"/>
    <w:rsid w:val="004F5724"/>
    <w:rsid w:val="004F5755"/>
    <w:rsid w:val="004F5782"/>
    <w:rsid w:val="004F5916"/>
    <w:rsid w:val="004F5933"/>
    <w:rsid w:val="004F59C5"/>
    <w:rsid w:val="004F5A66"/>
    <w:rsid w:val="004F5C7E"/>
    <w:rsid w:val="004F5D64"/>
    <w:rsid w:val="004F607E"/>
    <w:rsid w:val="004F60EC"/>
    <w:rsid w:val="004F6268"/>
    <w:rsid w:val="004F6B64"/>
    <w:rsid w:val="004F7053"/>
    <w:rsid w:val="004F708D"/>
    <w:rsid w:val="004F71FE"/>
    <w:rsid w:val="004F7361"/>
    <w:rsid w:val="004F7382"/>
    <w:rsid w:val="004F744D"/>
    <w:rsid w:val="004F75E5"/>
    <w:rsid w:val="004F76AE"/>
    <w:rsid w:val="004F7A4E"/>
    <w:rsid w:val="004F7A90"/>
    <w:rsid w:val="004F7CCE"/>
    <w:rsid w:val="004F7EC8"/>
    <w:rsid w:val="004F7ED8"/>
    <w:rsid w:val="005001D4"/>
    <w:rsid w:val="005001F8"/>
    <w:rsid w:val="005002C2"/>
    <w:rsid w:val="00500393"/>
    <w:rsid w:val="00500483"/>
    <w:rsid w:val="00500591"/>
    <w:rsid w:val="00500952"/>
    <w:rsid w:val="00500A15"/>
    <w:rsid w:val="00500AE9"/>
    <w:rsid w:val="00500B73"/>
    <w:rsid w:val="00500DDD"/>
    <w:rsid w:val="00500E77"/>
    <w:rsid w:val="00500EA8"/>
    <w:rsid w:val="00500F31"/>
    <w:rsid w:val="00500F33"/>
    <w:rsid w:val="00501264"/>
    <w:rsid w:val="005013CB"/>
    <w:rsid w:val="005015F0"/>
    <w:rsid w:val="0050169C"/>
    <w:rsid w:val="00501892"/>
    <w:rsid w:val="005019A4"/>
    <w:rsid w:val="005019DD"/>
    <w:rsid w:val="00501C31"/>
    <w:rsid w:val="00501C34"/>
    <w:rsid w:val="00501C92"/>
    <w:rsid w:val="0050209C"/>
    <w:rsid w:val="005021A4"/>
    <w:rsid w:val="00502296"/>
    <w:rsid w:val="005023FE"/>
    <w:rsid w:val="005024C2"/>
    <w:rsid w:val="005024DA"/>
    <w:rsid w:val="0050250E"/>
    <w:rsid w:val="005027D1"/>
    <w:rsid w:val="00502D77"/>
    <w:rsid w:val="00502F19"/>
    <w:rsid w:val="00502FC2"/>
    <w:rsid w:val="00503175"/>
    <w:rsid w:val="005031CC"/>
    <w:rsid w:val="0050327E"/>
    <w:rsid w:val="0050339B"/>
    <w:rsid w:val="005033C0"/>
    <w:rsid w:val="005034F5"/>
    <w:rsid w:val="005036CE"/>
    <w:rsid w:val="0050374A"/>
    <w:rsid w:val="0050391C"/>
    <w:rsid w:val="00503B8B"/>
    <w:rsid w:val="00503BC8"/>
    <w:rsid w:val="00503C3A"/>
    <w:rsid w:val="00503D20"/>
    <w:rsid w:val="00503EC2"/>
    <w:rsid w:val="00503FE9"/>
    <w:rsid w:val="0050425F"/>
    <w:rsid w:val="005046F2"/>
    <w:rsid w:val="005048A9"/>
    <w:rsid w:val="0050495E"/>
    <w:rsid w:val="005049D3"/>
    <w:rsid w:val="005049FA"/>
    <w:rsid w:val="00504AD0"/>
    <w:rsid w:val="00504B76"/>
    <w:rsid w:val="00504BC9"/>
    <w:rsid w:val="00504C26"/>
    <w:rsid w:val="00504E00"/>
    <w:rsid w:val="00504E08"/>
    <w:rsid w:val="00504E19"/>
    <w:rsid w:val="005050E0"/>
    <w:rsid w:val="00505577"/>
    <w:rsid w:val="005055F5"/>
    <w:rsid w:val="0050570B"/>
    <w:rsid w:val="005059BB"/>
    <w:rsid w:val="00505B0C"/>
    <w:rsid w:val="00505C9A"/>
    <w:rsid w:val="00505D2A"/>
    <w:rsid w:val="005060F8"/>
    <w:rsid w:val="00506534"/>
    <w:rsid w:val="00506598"/>
    <w:rsid w:val="0050668C"/>
    <w:rsid w:val="005067CC"/>
    <w:rsid w:val="0050680F"/>
    <w:rsid w:val="00506A6C"/>
    <w:rsid w:val="00506DD0"/>
    <w:rsid w:val="0050711F"/>
    <w:rsid w:val="005071B5"/>
    <w:rsid w:val="0050720B"/>
    <w:rsid w:val="00507265"/>
    <w:rsid w:val="00507458"/>
    <w:rsid w:val="0050749C"/>
    <w:rsid w:val="00507573"/>
    <w:rsid w:val="005075B4"/>
    <w:rsid w:val="00507676"/>
    <w:rsid w:val="005077BF"/>
    <w:rsid w:val="005079CB"/>
    <w:rsid w:val="00510060"/>
    <w:rsid w:val="00510129"/>
    <w:rsid w:val="005103F5"/>
    <w:rsid w:val="005104B0"/>
    <w:rsid w:val="005107C0"/>
    <w:rsid w:val="00510A26"/>
    <w:rsid w:val="00510A74"/>
    <w:rsid w:val="00510A90"/>
    <w:rsid w:val="00510C08"/>
    <w:rsid w:val="00510D18"/>
    <w:rsid w:val="00510D5E"/>
    <w:rsid w:val="00510DAE"/>
    <w:rsid w:val="00510E1B"/>
    <w:rsid w:val="00510E8A"/>
    <w:rsid w:val="00510F75"/>
    <w:rsid w:val="00510FB1"/>
    <w:rsid w:val="00511199"/>
    <w:rsid w:val="00511203"/>
    <w:rsid w:val="00511307"/>
    <w:rsid w:val="005114BF"/>
    <w:rsid w:val="00511517"/>
    <w:rsid w:val="005115A5"/>
    <w:rsid w:val="005117CC"/>
    <w:rsid w:val="005118C2"/>
    <w:rsid w:val="00511903"/>
    <w:rsid w:val="00511934"/>
    <w:rsid w:val="00511CE4"/>
    <w:rsid w:val="00511D0F"/>
    <w:rsid w:val="00511F4B"/>
    <w:rsid w:val="00511FB0"/>
    <w:rsid w:val="005120BA"/>
    <w:rsid w:val="005122B5"/>
    <w:rsid w:val="0051231D"/>
    <w:rsid w:val="00512563"/>
    <w:rsid w:val="00512582"/>
    <w:rsid w:val="0051278A"/>
    <w:rsid w:val="005127BD"/>
    <w:rsid w:val="00512823"/>
    <w:rsid w:val="00512860"/>
    <w:rsid w:val="00512924"/>
    <w:rsid w:val="00512A44"/>
    <w:rsid w:val="00512C7D"/>
    <w:rsid w:val="00512CF2"/>
    <w:rsid w:val="00512D1A"/>
    <w:rsid w:val="00512FD3"/>
    <w:rsid w:val="005130C1"/>
    <w:rsid w:val="005130EF"/>
    <w:rsid w:val="00513116"/>
    <w:rsid w:val="005131DF"/>
    <w:rsid w:val="00513535"/>
    <w:rsid w:val="00513579"/>
    <w:rsid w:val="005139EC"/>
    <w:rsid w:val="00513A75"/>
    <w:rsid w:val="00513AEA"/>
    <w:rsid w:val="00513C19"/>
    <w:rsid w:val="00513C49"/>
    <w:rsid w:val="00513E1B"/>
    <w:rsid w:val="00513E70"/>
    <w:rsid w:val="005143E1"/>
    <w:rsid w:val="005143E5"/>
    <w:rsid w:val="005144B7"/>
    <w:rsid w:val="005146A3"/>
    <w:rsid w:val="00514789"/>
    <w:rsid w:val="0051480A"/>
    <w:rsid w:val="00514815"/>
    <w:rsid w:val="00514896"/>
    <w:rsid w:val="00514902"/>
    <w:rsid w:val="00514960"/>
    <w:rsid w:val="00514AAC"/>
    <w:rsid w:val="00514BDD"/>
    <w:rsid w:val="00514EF0"/>
    <w:rsid w:val="005150C3"/>
    <w:rsid w:val="005151E4"/>
    <w:rsid w:val="00515202"/>
    <w:rsid w:val="00515341"/>
    <w:rsid w:val="0051551B"/>
    <w:rsid w:val="005156FF"/>
    <w:rsid w:val="00515AD5"/>
    <w:rsid w:val="00515E02"/>
    <w:rsid w:val="0051600D"/>
    <w:rsid w:val="005160A7"/>
    <w:rsid w:val="005160F3"/>
    <w:rsid w:val="0051615A"/>
    <w:rsid w:val="005161E4"/>
    <w:rsid w:val="0051625F"/>
    <w:rsid w:val="00516385"/>
    <w:rsid w:val="005164CF"/>
    <w:rsid w:val="00516519"/>
    <w:rsid w:val="005165F0"/>
    <w:rsid w:val="00516678"/>
    <w:rsid w:val="00516983"/>
    <w:rsid w:val="00516CBB"/>
    <w:rsid w:val="00516F01"/>
    <w:rsid w:val="00517017"/>
    <w:rsid w:val="005170DE"/>
    <w:rsid w:val="005172AA"/>
    <w:rsid w:val="00517346"/>
    <w:rsid w:val="00517362"/>
    <w:rsid w:val="00517940"/>
    <w:rsid w:val="005179DB"/>
    <w:rsid w:val="00517BA8"/>
    <w:rsid w:val="00517C0E"/>
    <w:rsid w:val="00517CF9"/>
    <w:rsid w:val="00517D66"/>
    <w:rsid w:val="00517DCC"/>
    <w:rsid w:val="00517FFB"/>
    <w:rsid w:val="005200AD"/>
    <w:rsid w:val="005202A9"/>
    <w:rsid w:val="0052030C"/>
    <w:rsid w:val="0052031A"/>
    <w:rsid w:val="0052054D"/>
    <w:rsid w:val="0052078B"/>
    <w:rsid w:val="00520857"/>
    <w:rsid w:val="005209D5"/>
    <w:rsid w:val="005209EE"/>
    <w:rsid w:val="00520A35"/>
    <w:rsid w:val="00520BB7"/>
    <w:rsid w:val="00520BE1"/>
    <w:rsid w:val="00520CB1"/>
    <w:rsid w:val="00520DDE"/>
    <w:rsid w:val="005210C1"/>
    <w:rsid w:val="00521109"/>
    <w:rsid w:val="0052135F"/>
    <w:rsid w:val="0052137B"/>
    <w:rsid w:val="005213E8"/>
    <w:rsid w:val="00521451"/>
    <w:rsid w:val="005216A8"/>
    <w:rsid w:val="00521785"/>
    <w:rsid w:val="00521787"/>
    <w:rsid w:val="00521B48"/>
    <w:rsid w:val="00521C58"/>
    <w:rsid w:val="00521DE8"/>
    <w:rsid w:val="00521F65"/>
    <w:rsid w:val="00521F91"/>
    <w:rsid w:val="0052204D"/>
    <w:rsid w:val="005220F4"/>
    <w:rsid w:val="005222D9"/>
    <w:rsid w:val="00522559"/>
    <w:rsid w:val="00522784"/>
    <w:rsid w:val="005227F8"/>
    <w:rsid w:val="0052292C"/>
    <w:rsid w:val="00522CAE"/>
    <w:rsid w:val="00522F19"/>
    <w:rsid w:val="00523357"/>
    <w:rsid w:val="00523537"/>
    <w:rsid w:val="00523586"/>
    <w:rsid w:val="00523934"/>
    <w:rsid w:val="005239EA"/>
    <w:rsid w:val="00523A04"/>
    <w:rsid w:val="00523AA2"/>
    <w:rsid w:val="00523ABC"/>
    <w:rsid w:val="00524199"/>
    <w:rsid w:val="005242C2"/>
    <w:rsid w:val="0052465B"/>
    <w:rsid w:val="00524680"/>
    <w:rsid w:val="005246E1"/>
    <w:rsid w:val="00524B15"/>
    <w:rsid w:val="00524B1D"/>
    <w:rsid w:val="00524CA2"/>
    <w:rsid w:val="00524D24"/>
    <w:rsid w:val="00525295"/>
    <w:rsid w:val="005253A1"/>
    <w:rsid w:val="0052594B"/>
    <w:rsid w:val="00525BF1"/>
    <w:rsid w:val="00525C6E"/>
    <w:rsid w:val="00525CB7"/>
    <w:rsid w:val="00525E72"/>
    <w:rsid w:val="00525F22"/>
    <w:rsid w:val="00525FDA"/>
    <w:rsid w:val="00526183"/>
    <w:rsid w:val="005261B1"/>
    <w:rsid w:val="0052651C"/>
    <w:rsid w:val="0052669C"/>
    <w:rsid w:val="005266D7"/>
    <w:rsid w:val="00526822"/>
    <w:rsid w:val="0052688C"/>
    <w:rsid w:val="005269B4"/>
    <w:rsid w:val="00526C3A"/>
    <w:rsid w:val="00526C82"/>
    <w:rsid w:val="005271A0"/>
    <w:rsid w:val="00527350"/>
    <w:rsid w:val="00527774"/>
    <w:rsid w:val="005278D1"/>
    <w:rsid w:val="0052797E"/>
    <w:rsid w:val="00527AAC"/>
    <w:rsid w:val="00527CE1"/>
    <w:rsid w:val="005304C4"/>
    <w:rsid w:val="00530571"/>
    <w:rsid w:val="00530690"/>
    <w:rsid w:val="005306A8"/>
    <w:rsid w:val="005308F1"/>
    <w:rsid w:val="00530911"/>
    <w:rsid w:val="0053091B"/>
    <w:rsid w:val="00530A6E"/>
    <w:rsid w:val="00530CE1"/>
    <w:rsid w:val="00530F34"/>
    <w:rsid w:val="005310F0"/>
    <w:rsid w:val="005313F9"/>
    <w:rsid w:val="00531483"/>
    <w:rsid w:val="005314D0"/>
    <w:rsid w:val="00531717"/>
    <w:rsid w:val="005319BF"/>
    <w:rsid w:val="00531ACA"/>
    <w:rsid w:val="00531B92"/>
    <w:rsid w:val="00531CCF"/>
    <w:rsid w:val="00531D60"/>
    <w:rsid w:val="00531E0D"/>
    <w:rsid w:val="00531EAE"/>
    <w:rsid w:val="00531F0A"/>
    <w:rsid w:val="00531F6F"/>
    <w:rsid w:val="005320C2"/>
    <w:rsid w:val="005321CB"/>
    <w:rsid w:val="005324F0"/>
    <w:rsid w:val="00532758"/>
    <w:rsid w:val="005327DF"/>
    <w:rsid w:val="0053283B"/>
    <w:rsid w:val="00532BE4"/>
    <w:rsid w:val="00532C7C"/>
    <w:rsid w:val="00532E45"/>
    <w:rsid w:val="00532EE1"/>
    <w:rsid w:val="00533148"/>
    <w:rsid w:val="00533160"/>
    <w:rsid w:val="00533270"/>
    <w:rsid w:val="00533715"/>
    <w:rsid w:val="0053382B"/>
    <w:rsid w:val="005338C9"/>
    <w:rsid w:val="00533B4F"/>
    <w:rsid w:val="00533BF9"/>
    <w:rsid w:val="00533C3D"/>
    <w:rsid w:val="00533C86"/>
    <w:rsid w:val="00533EBB"/>
    <w:rsid w:val="00533FD4"/>
    <w:rsid w:val="005342CE"/>
    <w:rsid w:val="00534346"/>
    <w:rsid w:val="0053452B"/>
    <w:rsid w:val="005345E5"/>
    <w:rsid w:val="0053462E"/>
    <w:rsid w:val="0053471D"/>
    <w:rsid w:val="0053485D"/>
    <w:rsid w:val="005348FA"/>
    <w:rsid w:val="00534A50"/>
    <w:rsid w:val="00534A7F"/>
    <w:rsid w:val="00534B04"/>
    <w:rsid w:val="00534B23"/>
    <w:rsid w:val="00534C44"/>
    <w:rsid w:val="00534C85"/>
    <w:rsid w:val="00534F4B"/>
    <w:rsid w:val="00534FB7"/>
    <w:rsid w:val="00534FFB"/>
    <w:rsid w:val="0053509E"/>
    <w:rsid w:val="0053519A"/>
    <w:rsid w:val="00535332"/>
    <w:rsid w:val="005354BB"/>
    <w:rsid w:val="00535848"/>
    <w:rsid w:val="0053598B"/>
    <w:rsid w:val="00535A80"/>
    <w:rsid w:val="00535C9E"/>
    <w:rsid w:val="00535F7C"/>
    <w:rsid w:val="00535F8A"/>
    <w:rsid w:val="00536037"/>
    <w:rsid w:val="00536039"/>
    <w:rsid w:val="005361C9"/>
    <w:rsid w:val="005361EC"/>
    <w:rsid w:val="0053626C"/>
    <w:rsid w:val="005362B2"/>
    <w:rsid w:val="005363ED"/>
    <w:rsid w:val="00536638"/>
    <w:rsid w:val="005366FF"/>
    <w:rsid w:val="00536710"/>
    <w:rsid w:val="00536947"/>
    <w:rsid w:val="0053695C"/>
    <w:rsid w:val="00536B83"/>
    <w:rsid w:val="00536BA7"/>
    <w:rsid w:val="00536BBC"/>
    <w:rsid w:val="00536C5C"/>
    <w:rsid w:val="00536CDA"/>
    <w:rsid w:val="00536E10"/>
    <w:rsid w:val="00536E40"/>
    <w:rsid w:val="00536EB7"/>
    <w:rsid w:val="00536F37"/>
    <w:rsid w:val="005371E1"/>
    <w:rsid w:val="00537239"/>
    <w:rsid w:val="00537262"/>
    <w:rsid w:val="0053727D"/>
    <w:rsid w:val="0053747A"/>
    <w:rsid w:val="005374FA"/>
    <w:rsid w:val="00537769"/>
    <w:rsid w:val="00537791"/>
    <w:rsid w:val="005378D0"/>
    <w:rsid w:val="0053797C"/>
    <w:rsid w:val="00537A53"/>
    <w:rsid w:val="00537A64"/>
    <w:rsid w:val="00537A81"/>
    <w:rsid w:val="00537B07"/>
    <w:rsid w:val="00537B44"/>
    <w:rsid w:val="00537C60"/>
    <w:rsid w:val="00537CD8"/>
    <w:rsid w:val="00537DBB"/>
    <w:rsid w:val="00540033"/>
    <w:rsid w:val="00540393"/>
    <w:rsid w:val="00540737"/>
    <w:rsid w:val="00540801"/>
    <w:rsid w:val="00540A2F"/>
    <w:rsid w:val="00540D8D"/>
    <w:rsid w:val="00540F02"/>
    <w:rsid w:val="00540FDD"/>
    <w:rsid w:val="00540FFA"/>
    <w:rsid w:val="00541074"/>
    <w:rsid w:val="0054117D"/>
    <w:rsid w:val="00541206"/>
    <w:rsid w:val="005415A9"/>
    <w:rsid w:val="005415B7"/>
    <w:rsid w:val="00541789"/>
    <w:rsid w:val="0054180A"/>
    <w:rsid w:val="00541E24"/>
    <w:rsid w:val="00541F17"/>
    <w:rsid w:val="00542341"/>
    <w:rsid w:val="00542392"/>
    <w:rsid w:val="005423EC"/>
    <w:rsid w:val="005424B6"/>
    <w:rsid w:val="005427D6"/>
    <w:rsid w:val="00542C06"/>
    <w:rsid w:val="00542C93"/>
    <w:rsid w:val="00542CB1"/>
    <w:rsid w:val="00542CB7"/>
    <w:rsid w:val="00542DEB"/>
    <w:rsid w:val="00543093"/>
    <w:rsid w:val="005430FE"/>
    <w:rsid w:val="00543119"/>
    <w:rsid w:val="00543179"/>
    <w:rsid w:val="005431BD"/>
    <w:rsid w:val="0054331D"/>
    <w:rsid w:val="0054333A"/>
    <w:rsid w:val="00543371"/>
    <w:rsid w:val="00543528"/>
    <w:rsid w:val="00543B91"/>
    <w:rsid w:val="00543BD4"/>
    <w:rsid w:val="00543C3F"/>
    <w:rsid w:val="00543D24"/>
    <w:rsid w:val="00543EA1"/>
    <w:rsid w:val="00543F30"/>
    <w:rsid w:val="00543F58"/>
    <w:rsid w:val="0054424F"/>
    <w:rsid w:val="005442E2"/>
    <w:rsid w:val="00544506"/>
    <w:rsid w:val="0054457D"/>
    <w:rsid w:val="00544587"/>
    <w:rsid w:val="0054486E"/>
    <w:rsid w:val="0054487A"/>
    <w:rsid w:val="00544C6C"/>
    <w:rsid w:val="00544CAF"/>
    <w:rsid w:val="00544CC3"/>
    <w:rsid w:val="00544DA0"/>
    <w:rsid w:val="00544DC9"/>
    <w:rsid w:val="00545005"/>
    <w:rsid w:val="0054532C"/>
    <w:rsid w:val="005453B8"/>
    <w:rsid w:val="00545627"/>
    <w:rsid w:val="0054572D"/>
    <w:rsid w:val="0054575C"/>
    <w:rsid w:val="0054599A"/>
    <w:rsid w:val="00545BAE"/>
    <w:rsid w:val="00545DCA"/>
    <w:rsid w:val="00545FBF"/>
    <w:rsid w:val="00546270"/>
    <w:rsid w:val="00546430"/>
    <w:rsid w:val="0054656C"/>
    <w:rsid w:val="0054657C"/>
    <w:rsid w:val="00546593"/>
    <w:rsid w:val="005465CA"/>
    <w:rsid w:val="005467BC"/>
    <w:rsid w:val="0054698B"/>
    <w:rsid w:val="00546AD1"/>
    <w:rsid w:val="00546D18"/>
    <w:rsid w:val="00546E98"/>
    <w:rsid w:val="00546EBC"/>
    <w:rsid w:val="00546F25"/>
    <w:rsid w:val="0054720A"/>
    <w:rsid w:val="005472B5"/>
    <w:rsid w:val="005474C0"/>
    <w:rsid w:val="0054771C"/>
    <w:rsid w:val="00547E57"/>
    <w:rsid w:val="00547ED2"/>
    <w:rsid w:val="00550022"/>
    <w:rsid w:val="0055003E"/>
    <w:rsid w:val="005500A2"/>
    <w:rsid w:val="0055017E"/>
    <w:rsid w:val="005502E8"/>
    <w:rsid w:val="005505E8"/>
    <w:rsid w:val="005505F7"/>
    <w:rsid w:val="00550624"/>
    <w:rsid w:val="005508B7"/>
    <w:rsid w:val="00550A15"/>
    <w:rsid w:val="00550A4E"/>
    <w:rsid w:val="00550ABF"/>
    <w:rsid w:val="00550B38"/>
    <w:rsid w:val="00550BF5"/>
    <w:rsid w:val="00550C14"/>
    <w:rsid w:val="00550CB3"/>
    <w:rsid w:val="00550CEF"/>
    <w:rsid w:val="00550D98"/>
    <w:rsid w:val="00550DBC"/>
    <w:rsid w:val="00550F82"/>
    <w:rsid w:val="0055141E"/>
    <w:rsid w:val="0055142E"/>
    <w:rsid w:val="00551516"/>
    <w:rsid w:val="0055158A"/>
    <w:rsid w:val="0055189A"/>
    <w:rsid w:val="005518C9"/>
    <w:rsid w:val="00551901"/>
    <w:rsid w:val="00551BED"/>
    <w:rsid w:val="00551E87"/>
    <w:rsid w:val="00551F3E"/>
    <w:rsid w:val="0055228E"/>
    <w:rsid w:val="005523F0"/>
    <w:rsid w:val="00552448"/>
    <w:rsid w:val="0055245C"/>
    <w:rsid w:val="00552996"/>
    <w:rsid w:val="00552A52"/>
    <w:rsid w:val="00552B62"/>
    <w:rsid w:val="00552DA1"/>
    <w:rsid w:val="00552E5B"/>
    <w:rsid w:val="0055307F"/>
    <w:rsid w:val="005535D2"/>
    <w:rsid w:val="00553807"/>
    <w:rsid w:val="00553CAA"/>
    <w:rsid w:val="00553CE6"/>
    <w:rsid w:val="00553D64"/>
    <w:rsid w:val="005541B3"/>
    <w:rsid w:val="00554443"/>
    <w:rsid w:val="005545AA"/>
    <w:rsid w:val="005545F5"/>
    <w:rsid w:val="00554A14"/>
    <w:rsid w:val="00554D96"/>
    <w:rsid w:val="00554DB4"/>
    <w:rsid w:val="00554DB8"/>
    <w:rsid w:val="00554EEA"/>
    <w:rsid w:val="0055501B"/>
    <w:rsid w:val="005550A5"/>
    <w:rsid w:val="005550DF"/>
    <w:rsid w:val="00555153"/>
    <w:rsid w:val="005553A3"/>
    <w:rsid w:val="00555447"/>
    <w:rsid w:val="005557B7"/>
    <w:rsid w:val="005557F5"/>
    <w:rsid w:val="00555867"/>
    <w:rsid w:val="00555917"/>
    <w:rsid w:val="00555976"/>
    <w:rsid w:val="00555A78"/>
    <w:rsid w:val="00555AEC"/>
    <w:rsid w:val="00555C4A"/>
    <w:rsid w:val="00555C6D"/>
    <w:rsid w:val="00555E72"/>
    <w:rsid w:val="00555EAA"/>
    <w:rsid w:val="00556113"/>
    <w:rsid w:val="005561AC"/>
    <w:rsid w:val="00556395"/>
    <w:rsid w:val="0055642A"/>
    <w:rsid w:val="00556468"/>
    <w:rsid w:val="005566E5"/>
    <w:rsid w:val="005567E1"/>
    <w:rsid w:val="00556BB8"/>
    <w:rsid w:val="00556BF5"/>
    <w:rsid w:val="00556C4A"/>
    <w:rsid w:val="00556CAF"/>
    <w:rsid w:val="00556DA8"/>
    <w:rsid w:val="00556E10"/>
    <w:rsid w:val="00556E73"/>
    <w:rsid w:val="00557164"/>
    <w:rsid w:val="00557270"/>
    <w:rsid w:val="005572F8"/>
    <w:rsid w:val="00557366"/>
    <w:rsid w:val="00557484"/>
    <w:rsid w:val="0055750D"/>
    <w:rsid w:val="005575E5"/>
    <w:rsid w:val="005576F1"/>
    <w:rsid w:val="0055770D"/>
    <w:rsid w:val="0055789E"/>
    <w:rsid w:val="0055792F"/>
    <w:rsid w:val="005579EA"/>
    <w:rsid w:val="00557A58"/>
    <w:rsid w:val="00557C20"/>
    <w:rsid w:val="00557DB4"/>
    <w:rsid w:val="00557DB6"/>
    <w:rsid w:val="00557E18"/>
    <w:rsid w:val="00557FA2"/>
    <w:rsid w:val="00557FDF"/>
    <w:rsid w:val="0056024F"/>
    <w:rsid w:val="0056036A"/>
    <w:rsid w:val="00560449"/>
    <w:rsid w:val="00560472"/>
    <w:rsid w:val="00560481"/>
    <w:rsid w:val="00560747"/>
    <w:rsid w:val="00560836"/>
    <w:rsid w:val="00560980"/>
    <w:rsid w:val="005609AC"/>
    <w:rsid w:val="00560A82"/>
    <w:rsid w:val="00560AF2"/>
    <w:rsid w:val="00560B1C"/>
    <w:rsid w:val="00560B2E"/>
    <w:rsid w:val="00560E4E"/>
    <w:rsid w:val="00561116"/>
    <w:rsid w:val="00561124"/>
    <w:rsid w:val="005612E2"/>
    <w:rsid w:val="00561396"/>
    <w:rsid w:val="005613B8"/>
    <w:rsid w:val="00561402"/>
    <w:rsid w:val="00561520"/>
    <w:rsid w:val="00561584"/>
    <w:rsid w:val="005616C4"/>
    <w:rsid w:val="005617CF"/>
    <w:rsid w:val="005617E0"/>
    <w:rsid w:val="00561B4B"/>
    <w:rsid w:val="00561BE6"/>
    <w:rsid w:val="00561CBF"/>
    <w:rsid w:val="00561D64"/>
    <w:rsid w:val="00561DD9"/>
    <w:rsid w:val="00561FDF"/>
    <w:rsid w:val="00562077"/>
    <w:rsid w:val="0056222C"/>
    <w:rsid w:val="00562671"/>
    <w:rsid w:val="00562819"/>
    <w:rsid w:val="00562C0B"/>
    <w:rsid w:val="00562C10"/>
    <w:rsid w:val="00562D05"/>
    <w:rsid w:val="00562F06"/>
    <w:rsid w:val="00562F1E"/>
    <w:rsid w:val="00562F83"/>
    <w:rsid w:val="00563324"/>
    <w:rsid w:val="005633B7"/>
    <w:rsid w:val="005637D5"/>
    <w:rsid w:val="0056394F"/>
    <w:rsid w:val="00563953"/>
    <w:rsid w:val="00563A15"/>
    <w:rsid w:val="00563AF2"/>
    <w:rsid w:val="00563BF1"/>
    <w:rsid w:val="00563EFD"/>
    <w:rsid w:val="0056403A"/>
    <w:rsid w:val="00564324"/>
    <w:rsid w:val="00564339"/>
    <w:rsid w:val="005644A9"/>
    <w:rsid w:val="005647C9"/>
    <w:rsid w:val="00564966"/>
    <w:rsid w:val="00564BE8"/>
    <w:rsid w:val="00564DD0"/>
    <w:rsid w:val="00565068"/>
    <w:rsid w:val="00565107"/>
    <w:rsid w:val="00565353"/>
    <w:rsid w:val="005653CE"/>
    <w:rsid w:val="00565492"/>
    <w:rsid w:val="00565524"/>
    <w:rsid w:val="00565546"/>
    <w:rsid w:val="00565AAD"/>
    <w:rsid w:val="00565B81"/>
    <w:rsid w:val="00565C52"/>
    <w:rsid w:val="00565C96"/>
    <w:rsid w:val="00565DBC"/>
    <w:rsid w:val="00565ED5"/>
    <w:rsid w:val="0056612F"/>
    <w:rsid w:val="00566162"/>
    <w:rsid w:val="005663BB"/>
    <w:rsid w:val="005668F2"/>
    <w:rsid w:val="005669EE"/>
    <w:rsid w:val="00566D4D"/>
    <w:rsid w:val="00566FB0"/>
    <w:rsid w:val="005670C4"/>
    <w:rsid w:val="005671F1"/>
    <w:rsid w:val="00567329"/>
    <w:rsid w:val="00567476"/>
    <w:rsid w:val="005674C5"/>
    <w:rsid w:val="0056760A"/>
    <w:rsid w:val="00567677"/>
    <w:rsid w:val="005676D2"/>
    <w:rsid w:val="00567709"/>
    <w:rsid w:val="005678CA"/>
    <w:rsid w:val="00567A58"/>
    <w:rsid w:val="00567B1A"/>
    <w:rsid w:val="00567CBF"/>
    <w:rsid w:val="00567EE1"/>
    <w:rsid w:val="00567F27"/>
    <w:rsid w:val="00570343"/>
    <w:rsid w:val="005704B3"/>
    <w:rsid w:val="0057069A"/>
    <w:rsid w:val="00570BFE"/>
    <w:rsid w:val="00570CD6"/>
    <w:rsid w:val="00570F5A"/>
    <w:rsid w:val="00571239"/>
    <w:rsid w:val="0057133A"/>
    <w:rsid w:val="005713BB"/>
    <w:rsid w:val="005713E0"/>
    <w:rsid w:val="00571503"/>
    <w:rsid w:val="0057150B"/>
    <w:rsid w:val="0057167B"/>
    <w:rsid w:val="005719B1"/>
    <w:rsid w:val="00571B90"/>
    <w:rsid w:val="00571C69"/>
    <w:rsid w:val="00571D0A"/>
    <w:rsid w:val="00571D2C"/>
    <w:rsid w:val="00571FD3"/>
    <w:rsid w:val="0057218F"/>
    <w:rsid w:val="00572195"/>
    <w:rsid w:val="00572345"/>
    <w:rsid w:val="005723AE"/>
    <w:rsid w:val="0057248B"/>
    <w:rsid w:val="005724E2"/>
    <w:rsid w:val="005725B4"/>
    <w:rsid w:val="00572709"/>
    <w:rsid w:val="0057275A"/>
    <w:rsid w:val="0057282B"/>
    <w:rsid w:val="005728B3"/>
    <w:rsid w:val="005729F2"/>
    <w:rsid w:val="00572BD3"/>
    <w:rsid w:val="00572C23"/>
    <w:rsid w:val="00572CAC"/>
    <w:rsid w:val="00572D00"/>
    <w:rsid w:val="00572E1B"/>
    <w:rsid w:val="005731CD"/>
    <w:rsid w:val="005731F0"/>
    <w:rsid w:val="00573323"/>
    <w:rsid w:val="00573438"/>
    <w:rsid w:val="005734D7"/>
    <w:rsid w:val="005737C6"/>
    <w:rsid w:val="00573AEA"/>
    <w:rsid w:val="00573B2B"/>
    <w:rsid w:val="00573B78"/>
    <w:rsid w:val="00573DF7"/>
    <w:rsid w:val="00574141"/>
    <w:rsid w:val="005741E5"/>
    <w:rsid w:val="00574322"/>
    <w:rsid w:val="005744AD"/>
    <w:rsid w:val="005744AF"/>
    <w:rsid w:val="005744B8"/>
    <w:rsid w:val="0057458A"/>
    <w:rsid w:val="00574659"/>
    <w:rsid w:val="005747BC"/>
    <w:rsid w:val="0057481C"/>
    <w:rsid w:val="00574B53"/>
    <w:rsid w:val="00574B6E"/>
    <w:rsid w:val="00574B73"/>
    <w:rsid w:val="00574D2B"/>
    <w:rsid w:val="00574E2A"/>
    <w:rsid w:val="0057502F"/>
    <w:rsid w:val="0057514D"/>
    <w:rsid w:val="005756E8"/>
    <w:rsid w:val="0057570B"/>
    <w:rsid w:val="00575862"/>
    <w:rsid w:val="005758F7"/>
    <w:rsid w:val="005759FF"/>
    <w:rsid w:val="00575AED"/>
    <w:rsid w:val="00575EB4"/>
    <w:rsid w:val="00575EF0"/>
    <w:rsid w:val="00575F5A"/>
    <w:rsid w:val="00575FC8"/>
    <w:rsid w:val="0057615F"/>
    <w:rsid w:val="005761D9"/>
    <w:rsid w:val="0057637E"/>
    <w:rsid w:val="00576395"/>
    <w:rsid w:val="00576439"/>
    <w:rsid w:val="00576524"/>
    <w:rsid w:val="005765BD"/>
    <w:rsid w:val="005766FF"/>
    <w:rsid w:val="00576802"/>
    <w:rsid w:val="005769E6"/>
    <w:rsid w:val="00576A0F"/>
    <w:rsid w:val="00576AFD"/>
    <w:rsid w:val="00576C01"/>
    <w:rsid w:val="00576C4D"/>
    <w:rsid w:val="0057700D"/>
    <w:rsid w:val="00577089"/>
    <w:rsid w:val="005771E5"/>
    <w:rsid w:val="0057755F"/>
    <w:rsid w:val="00577751"/>
    <w:rsid w:val="00577878"/>
    <w:rsid w:val="005779D6"/>
    <w:rsid w:val="005779FE"/>
    <w:rsid w:val="00577B1A"/>
    <w:rsid w:val="00577E77"/>
    <w:rsid w:val="00577FCE"/>
    <w:rsid w:val="0058007E"/>
    <w:rsid w:val="005800E9"/>
    <w:rsid w:val="00580134"/>
    <w:rsid w:val="005801B4"/>
    <w:rsid w:val="005801FF"/>
    <w:rsid w:val="005802C4"/>
    <w:rsid w:val="005802F8"/>
    <w:rsid w:val="005803F8"/>
    <w:rsid w:val="00580483"/>
    <w:rsid w:val="005804D0"/>
    <w:rsid w:val="005805A8"/>
    <w:rsid w:val="00580937"/>
    <w:rsid w:val="00580ABA"/>
    <w:rsid w:val="00580B83"/>
    <w:rsid w:val="00580BA4"/>
    <w:rsid w:val="00580D2A"/>
    <w:rsid w:val="00580E5F"/>
    <w:rsid w:val="0058102F"/>
    <w:rsid w:val="005812A0"/>
    <w:rsid w:val="005813F1"/>
    <w:rsid w:val="0058150B"/>
    <w:rsid w:val="005816CD"/>
    <w:rsid w:val="0058173D"/>
    <w:rsid w:val="005817F8"/>
    <w:rsid w:val="0058184F"/>
    <w:rsid w:val="005818AF"/>
    <w:rsid w:val="0058195C"/>
    <w:rsid w:val="00581AD8"/>
    <w:rsid w:val="00581BC2"/>
    <w:rsid w:val="00581D9E"/>
    <w:rsid w:val="00581EAC"/>
    <w:rsid w:val="005820BC"/>
    <w:rsid w:val="005822A4"/>
    <w:rsid w:val="005822D9"/>
    <w:rsid w:val="0058244A"/>
    <w:rsid w:val="00582562"/>
    <w:rsid w:val="00582890"/>
    <w:rsid w:val="005828E2"/>
    <w:rsid w:val="00582913"/>
    <w:rsid w:val="00582956"/>
    <w:rsid w:val="00582A0C"/>
    <w:rsid w:val="00582A9B"/>
    <w:rsid w:val="00582E1D"/>
    <w:rsid w:val="00582F48"/>
    <w:rsid w:val="00582FB1"/>
    <w:rsid w:val="005830E4"/>
    <w:rsid w:val="005831F6"/>
    <w:rsid w:val="0058344C"/>
    <w:rsid w:val="0058349B"/>
    <w:rsid w:val="00583652"/>
    <w:rsid w:val="0058368E"/>
    <w:rsid w:val="00583728"/>
    <w:rsid w:val="0058372A"/>
    <w:rsid w:val="00583983"/>
    <w:rsid w:val="005839A8"/>
    <w:rsid w:val="005839CA"/>
    <w:rsid w:val="00583B71"/>
    <w:rsid w:val="00583BC4"/>
    <w:rsid w:val="00583C5F"/>
    <w:rsid w:val="00583CE5"/>
    <w:rsid w:val="00583DF2"/>
    <w:rsid w:val="00583EB2"/>
    <w:rsid w:val="00583F65"/>
    <w:rsid w:val="005840E7"/>
    <w:rsid w:val="005841AA"/>
    <w:rsid w:val="00584232"/>
    <w:rsid w:val="005843AC"/>
    <w:rsid w:val="0058468B"/>
    <w:rsid w:val="00584ACE"/>
    <w:rsid w:val="00584BE3"/>
    <w:rsid w:val="00584C06"/>
    <w:rsid w:val="00584CF9"/>
    <w:rsid w:val="00584CFE"/>
    <w:rsid w:val="00584D82"/>
    <w:rsid w:val="00584EF7"/>
    <w:rsid w:val="00584FC2"/>
    <w:rsid w:val="0058501A"/>
    <w:rsid w:val="00585129"/>
    <w:rsid w:val="00585516"/>
    <w:rsid w:val="005857B1"/>
    <w:rsid w:val="00585896"/>
    <w:rsid w:val="00585BA0"/>
    <w:rsid w:val="00585BFA"/>
    <w:rsid w:val="005861F2"/>
    <w:rsid w:val="005861FF"/>
    <w:rsid w:val="00586284"/>
    <w:rsid w:val="005863A3"/>
    <w:rsid w:val="005864F0"/>
    <w:rsid w:val="0058665B"/>
    <w:rsid w:val="00586B1F"/>
    <w:rsid w:val="00586C92"/>
    <w:rsid w:val="00586CFF"/>
    <w:rsid w:val="00586F94"/>
    <w:rsid w:val="0058712F"/>
    <w:rsid w:val="00587215"/>
    <w:rsid w:val="005873FB"/>
    <w:rsid w:val="0058744E"/>
    <w:rsid w:val="0058755F"/>
    <w:rsid w:val="00587732"/>
    <w:rsid w:val="0058777F"/>
    <w:rsid w:val="00587793"/>
    <w:rsid w:val="00587A0A"/>
    <w:rsid w:val="00587AF0"/>
    <w:rsid w:val="00587B22"/>
    <w:rsid w:val="00587B5F"/>
    <w:rsid w:val="0059004D"/>
    <w:rsid w:val="005900ED"/>
    <w:rsid w:val="005901C2"/>
    <w:rsid w:val="005902E2"/>
    <w:rsid w:val="00590368"/>
    <w:rsid w:val="005907F7"/>
    <w:rsid w:val="00590865"/>
    <w:rsid w:val="00590967"/>
    <w:rsid w:val="00590B13"/>
    <w:rsid w:val="00590B8F"/>
    <w:rsid w:val="00590F3A"/>
    <w:rsid w:val="00591015"/>
    <w:rsid w:val="005911D2"/>
    <w:rsid w:val="00591448"/>
    <w:rsid w:val="00591458"/>
    <w:rsid w:val="005915D5"/>
    <w:rsid w:val="00591622"/>
    <w:rsid w:val="0059188F"/>
    <w:rsid w:val="00591E12"/>
    <w:rsid w:val="00591EE2"/>
    <w:rsid w:val="00591FD3"/>
    <w:rsid w:val="005921BD"/>
    <w:rsid w:val="00592279"/>
    <w:rsid w:val="0059228B"/>
    <w:rsid w:val="0059229D"/>
    <w:rsid w:val="005922FE"/>
    <w:rsid w:val="005924E4"/>
    <w:rsid w:val="0059251C"/>
    <w:rsid w:val="00592563"/>
    <w:rsid w:val="0059292F"/>
    <w:rsid w:val="00592975"/>
    <w:rsid w:val="00592B4A"/>
    <w:rsid w:val="00592B5B"/>
    <w:rsid w:val="00592DF1"/>
    <w:rsid w:val="00592E50"/>
    <w:rsid w:val="00593024"/>
    <w:rsid w:val="005930A7"/>
    <w:rsid w:val="0059312C"/>
    <w:rsid w:val="00593190"/>
    <w:rsid w:val="0059345B"/>
    <w:rsid w:val="005934F7"/>
    <w:rsid w:val="00593574"/>
    <w:rsid w:val="0059362D"/>
    <w:rsid w:val="00593939"/>
    <w:rsid w:val="00593A84"/>
    <w:rsid w:val="00593BDB"/>
    <w:rsid w:val="00593CB0"/>
    <w:rsid w:val="00593CB4"/>
    <w:rsid w:val="00593CBB"/>
    <w:rsid w:val="00593DD9"/>
    <w:rsid w:val="00593E48"/>
    <w:rsid w:val="005940A0"/>
    <w:rsid w:val="0059419A"/>
    <w:rsid w:val="005942C5"/>
    <w:rsid w:val="005943F1"/>
    <w:rsid w:val="0059455F"/>
    <w:rsid w:val="00594671"/>
    <w:rsid w:val="0059474A"/>
    <w:rsid w:val="005947E8"/>
    <w:rsid w:val="00594801"/>
    <w:rsid w:val="0059485F"/>
    <w:rsid w:val="0059486F"/>
    <w:rsid w:val="005949C3"/>
    <w:rsid w:val="00594A03"/>
    <w:rsid w:val="00594A52"/>
    <w:rsid w:val="00594C14"/>
    <w:rsid w:val="00594C1B"/>
    <w:rsid w:val="00594CD2"/>
    <w:rsid w:val="00595074"/>
    <w:rsid w:val="005951CE"/>
    <w:rsid w:val="005955FF"/>
    <w:rsid w:val="0059562F"/>
    <w:rsid w:val="00595706"/>
    <w:rsid w:val="005957FD"/>
    <w:rsid w:val="005958B0"/>
    <w:rsid w:val="005958EE"/>
    <w:rsid w:val="0059598F"/>
    <w:rsid w:val="00595990"/>
    <w:rsid w:val="00595AFD"/>
    <w:rsid w:val="00595B75"/>
    <w:rsid w:val="00595BC7"/>
    <w:rsid w:val="00595CB6"/>
    <w:rsid w:val="00595D73"/>
    <w:rsid w:val="00596032"/>
    <w:rsid w:val="0059604F"/>
    <w:rsid w:val="00596066"/>
    <w:rsid w:val="005960F9"/>
    <w:rsid w:val="00596184"/>
    <w:rsid w:val="00596419"/>
    <w:rsid w:val="00596494"/>
    <w:rsid w:val="005964BE"/>
    <w:rsid w:val="0059667A"/>
    <w:rsid w:val="00596707"/>
    <w:rsid w:val="00596827"/>
    <w:rsid w:val="00596945"/>
    <w:rsid w:val="00596A7B"/>
    <w:rsid w:val="00596ACD"/>
    <w:rsid w:val="00596C50"/>
    <w:rsid w:val="00596DA2"/>
    <w:rsid w:val="00596DC5"/>
    <w:rsid w:val="00596F24"/>
    <w:rsid w:val="00596FEC"/>
    <w:rsid w:val="0059719D"/>
    <w:rsid w:val="0059720C"/>
    <w:rsid w:val="005973FB"/>
    <w:rsid w:val="00597541"/>
    <w:rsid w:val="0059761C"/>
    <w:rsid w:val="005976BC"/>
    <w:rsid w:val="00597D0D"/>
    <w:rsid w:val="00597D17"/>
    <w:rsid w:val="00597DF3"/>
    <w:rsid w:val="005A026C"/>
    <w:rsid w:val="005A033B"/>
    <w:rsid w:val="005A06E8"/>
    <w:rsid w:val="005A07AE"/>
    <w:rsid w:val="005A07CF"/>
    <w:rsid w:val="005A09E8"/>
    <w:rsid w:val="005A0E08"/>
    <w:rsid w:val="005A0E8E"/>
    <w:rsid w:val="005A0EAF"/>
    <w:rsid w:val="005A1011"/>
    <w:rsid w:val="005A10FE"/>
    <w:rsid w:val="005A125D"/>
    <w:rsid w:val="005A1301"/>
    <w:rsid w:val="005A153A"/>
    <w:rsid w:val="005A15AC"/>
    <w:rsid w:val="005A1608"/>
    <w:rsid w:val="005A16F1"/>
    <w:rsid w:val="005A1B2D"/>
    <w:rsid w:val="005A1BBD"/>
    <w:rsid w:val="005A1C35"/>
    <w:rsid w:val="005A1DE1"/>
    <w:rsid w:val="005A1E67"/>
    <w:rsid w:val="005A1F36"/>
    <w:rsid w:val="005A201F"/>
    <w:rsid w:val="005A2248"/>
    <w:rsid w:val="005A256F"/>
    <w:rsid w:val="005A2695"/>
    <w:rsid w:val="005A2C03"/>
    <w:rsid w:val="005A2C34"/>
    <w:rsid w:val="005A2E23"/>
    <w:rsid w:val="005A2F70"/>
    <w:rsid w:val="005A3029"/>
    <w:rsid w:val="005A30FB"/>
    <w:rsid w:val="005A334F"/>
    <w:rsid w:val="005A335E"/>
    <w:rsid w:val="005A3690"/>
    <w:rsid w:val="005A37BC"/>
    <w:rsid w:val="005A37EC"/>
    <w:rsid w:val="005A3D14"/>
    <w:rsid w:val="005A3D9C"/>
    <w:rsid w:val="005A3E12"/>
    <w:rsid w:val="005A4180"/>
    <w:rsid w:val="005A4341"/>
    <w:rsid w:val="005A441E"/>
    <w:rsid w:val="005A4A65"/>
    <w:rsid w:val="005A4B53"/>
    <w:rsid w:val="005A525C"/>
    <w:rsid w:val="005A5408"/>
    <w:rsid w:val="005A5436"/>
    <w:rsid w:val="005A5447"/>
    <w:rsid w:val="005A57F3"/>
    <w:rsid w:val="005A5841"/>
    <w:rsid w:val="005A58F7"/>
    <w:rsid w:val="005A5959"/>
    <w:rsid w:val="005A5DEB"/>
    <w:rsid w:val="005A5E6A"/>
    <w:rsid w:val="005A655D"/>
    <w:rsid w:val="005A673B"/>
    <w:rsid w:val="005A6921"/>
    <w:rsid w:val="005A697D"/>
    <w:rsid w:val="005A6998"/>
    <w:rsid w:val="005A699E"/>
    <w:rsid w:val="005A702E"/>
    <w:rsid w:val="005A709D"/>
    <w:rsid w:val="005A7373"/>
    <w:rsid w:val="005A7543"/>
    <w:rsid w:val="005A7611"/>
    <w:rsid w:val="005A76A6"/>
    <w:rsid w:val="005A76B0"/>
    <w:rsid w:val="005A76F3"/>
    <w:rsid w:val="005A77BE"/>
    <w:rsid w:val="005A7896"/>
    <w:rsid w:val="005A78AE"/>
    <w:rsid w:val="005A7A19"/>
    <w:rsid w:val="005A7CB6"/>
    <w:rsid w:val="005A7E12"/>
    <w:rsid w:val="005A7F4B"/>
    <w:rsid w:val="005B00D1"/>
    <w:rsid w:val="005B035F"/>
    <w:rsid w:val="005B0382"/>
    <w:rsid w:val="005B043F"/>
    <w:rsid w:val="005B051A"/>
    <w:rsid w:val="005B05A5"/>
    <w:rsid w:val="005B07BA"/>
    <w:rsid w:val="005B07CD"/>
    <w:rsid w:val="005B0896"/>
    <w:rsid w:val="005B0B76"/>
    <w:rsid w:val="005B0C0C"/>
    <w:rsid w:val="005B137E"/>
    <w:rsid w:val="005B13A9"/>
    <w:rsid w:val="005B154D"/>
    <w:rsid w:val="005B18CD"/>
    <w:rsid w:val="005B1982"/>
    <w:rsid w:val="005B19F0"/>
    <w:rsid w:val="005B1A78"/>
    <w:rsid w:val="005B1A7B"/>
    <w:rsid w:val="005B1CED"/>
    <w:rsid w:val="005B1FDF"/>
    <w:rsid w:val="005B2095"/>
    <w:rsid w:val="005B21ED"/>
    <w:rsid w:val="005B22D6"/>
    <w:rsid w:val="005B24B0"/>
    <w:rsid w:val="005B2514"/>
    <w:rsid w:val="005B2712"/>
    <w:rsid w:val="005B2A31"/>
    <w:rsid w:val="005B2A8F"/>
    <w:rsid w:val="005B2AC8"/>
    <w:rsid w:val="005B2BA9"/>
    <w:rsid w:val="005B2C72"/>
    <w:rsid w:val="005B2CA2"/>
    <w:rsid w:val="005B2E10"/>
    <w:rsid w:val="005B2FC7"/>
    <w:rsid w:val="005B30EC"/>
    <w:rsid w:val="005B3155"/>
    <w:rsid w:val="005B3162"/>
    <w:rsid w:val="005B34CA"/>
    <w:rsid w:val="005B3B86"/>
    <w:rsid w:val="005B3B8A"/>
    <w:rsid w:val="005B3B91"/>
    <w:rsid w:val="005B3D01"/>
    <w:rsid w:val="005B3D66"/>
    <w:rsid w:val="005B3E4B"/>
    <w:rsid w:val="005B3FF6"/>
    <w:rsid w:val="005B412A"/>
    <w:rsid w:val="005B4390"/>
    <w:rsid w:val="005B449F"/>
    <w:rsid w:val="005B4591"/>
    <w:rsid w:val="005B45B8"/>
    <w:rsid w:val="005B45E2"/>
    <w:rsid w:val="005B4A86"/>
    <w:rsid w:val="005B4CFC"/>
    <w:rsid w:val="005B5005"/>
    <w:rsid w:val="005B5166"/>
    <w:rsid w:val="005B51B0"/>
    <w:rsid w:val="005B51C4"/>
    <w:rsid w:val="005B54EA"/>
    <w:rsid w:val="005B5539"/>
    <w:rsid w:val="005B5639"/>
    <w:rsid w:val="005B587A"/>
    <w:rsid w:val="005B58BA"/>
    <w:rsid w:val="005B58C9"/>
    <w:rsid w:val="005B58CB"/>
    <w:rsid w:val="005B5910"/>
    <w:rsid w:val="005B5AFB"/>
    <w:rsid w:val="005B5C72"/>
    <w:rsid w:val="005B5E72"/>
    <w:rsid w:val="005B5F09"/>
    <w:rsid w:val="005B614F"/>
    <w:rsid w:val="005B665F"/>
    <w:rsid w:val="005B6715"/>
    <w:rsid w:val="005B67ED"/>
    <w:rsid w:val="005B6897"/>
    <w:rsid w:val="005B6C2A"/>
    <w:rsid w:val="005B6C5F"/>
    <w:rsid w:val="005B6D0D"/>
    <w:rsid w:val="005B6DD6"/>
    <w:rsid w:val="005B7257"/>
    <w:rsid w:val="005B745B"/>
    <w:rsid w:val="005B7528"/>
    <w:rsid w:val="005B7574"/>
    <w:rsid w:val="005B7807"/>
    <w:rsid w:val="005B7910"/>
    <w:rsid w:val="005B7972"/>
    <w:rsid w:val="005B79E4"/>
    <w:rsid w:val="005B79FB"/>
    <w:rsid w:val="005B7AB3"/>
    <w:rsid w:val="005B7BDC"/>
    <w:rsid w:val="005B7C17"/>
    <w:rsid w:val="005B7F78"/>
    <w:rsid w:val="005C00AD"/>
    <w:rsid w:val="005C0165"/>
    <w:rsid w:val="005C01D3"/>
    <w:rsid w:val="005C03A9"/>
    <w:rsid w:val="005C03C7"/>
    <w:rsid w:val="005C04BC"/>
    <w:rsid w:val="005C0591"/>
    <w:rsid w:val="005C07A0"/>
    <w:rsid w:val="005C09BB"/>
    <w:rsid w:val="005C0A14"/>
    <w:rsid w:val="005C0D06"/>
    <w:rsid w:val="005C0F7B"/>
    <w:rsid w:val="005C16F5"/>
    <w:rsid w:val="005C1865"/>
    <w:rsid w:val="005C1AB0"/>
    <w:rsid w:val="005C1B85"/>
    <w:rsid w:val="005C1D2A"/>
    <w:rsid w:val="005C2183"/>
    <w:rsid w:val="005C21FE"/>
    <w:rsid w:val="005C22F2"/>
    <w:rsid w:val="005C24C4"/>
    <w:rsid w:val="005C25D6"/>
    <w:rsid w:val="005C2707"/>
    <w:rsid w:val="005C27FC"/>
    <w:rsid w:val="005C2851"/>
    <w:rsid w:val="005C2BF9"/>
    <w:rsid w:val="005C2CDD"/>
    <w:rsid w:val="005C2CF8"/>
    <w:rsid w:val="005C2EC5"/>
    <w:rsid w:val="005C2FFC"/>
    <w:rsid w:val="005C30FA"/>
    <w:rsid w:val="005C3223"/>
    <w:rsid w:val="005C3235"/>
    <w:rsid w:val="005C323A"/>
    <w:rsid w:val="005C3332"/>
    <w:rsid w:val="005C33AB"/>
    <w:rsid w:val="005C3410"/>
    <w:rsid w:val="005C349B"/>
    <w:rsid w:val="005C3531"/>
    <w:rsid w:val="005C3744"/>
    <w:rsid w:val="005C3880"/>
    <w:rsid w:val="005C389F"/>
    <w:rsid w:val="005C39D4"/>
    <w:rsid w:val="005C3A69"/>
    <w:rsid w:val="005C3A99"/>
    <w:rsid w:val="005C3B04"/>
    <w:rsid w:val="005C4012"/>
    <w:rsid w:val="005C4049"/>
    <w:rsid w:val="005C429A"/>
    <w:rsid w:val="005C42A9"/>
    <w:rsid w:val="005C4384"/>
    <w:rsid w:val="005C438E"/>
    <w:rsid w:val="005C43D6"/>
    <w:rsid w:val="005C4688"/>
    <w:rsid w:val="005C5051"/>
    <w:rsid w:val="005C5238"/>
    <w:rsid w:val="005C52AC"/>
    <w:rsid w:val="005C5731"/>
    <w:rsid w:val="005C5A88"/>
    <w:rsid w:val="005C5AB4"/>
    <w:rsid w:val="005C5C0B"/>
    <w:rsid w:val="005C5C1D"/>
    <w:rsid w:val="005C6040"/>
    <w:rsid w:val="005C61ED"/>
    <w:rsid w:val="005C628A"/>
    <w:rsid w:val="005C63B4"/>
    <w:rsid w:val="005C641A"/>
    <w:rsid w:val="005C6475"/>
    <w:rsid w:val="005C65BA"/>
    <w:rsid w:val="005C6768"/>
    <w:rsid w:val="005C6890"/>
    <w:rsid w:val="005C6A92"/>
    <w:rsid w:val="005C6BD8"/>
    <w:rsid w:val="005C6C8B"/>
    <w:rsid w:val="005C6D8E"/>
    <w:rsid w:val="005C6E7E"/>
    <w:rsid w:val="005C71FC"/>
    <w:rsid w:val="005C741A"/>
    <w:rsid w:val="005C76B7"/>
    <w:rsid w:val="005C7BAE"/>
    <w:rsid w:val="005C7BE1"/>
    <w:rsid w:val="005C7C07"/>
    <w:rsid w:val="005C7D06"/>
    <w:rsid w:val="005C7E67"/>
    <w:rsid w:val="005C7EC4"/>
    <w:rsid w:val="005D0163"/>
    <w:rsid w:val="005D0356"/>
    <w:rsid w:val="005D0BE5"/>
    <w:rsid w:val="005D0D57"/>
    <w:rsid w:val="005D0D8C"/>
    <w:rsid w:val="005D0EF6"/>
    <w:rsid w:val="005D1027"/>
    <w:rsid w:val="005D109D"/>
    <w:rsid w:val="005D1173"/>
    <w:rsid w:val="005D124C"/>
    <w:rsid w:val="005D126E"/>
    <w:rsid w:val="005D13F4"/>
    <w:rsid w:val="005D1409"/>
    <w:rsid w:val="005D1548"/>
    <w:rsid w:val="005D16A2"/>
    <w:rsid w:val="005D17A1"/>
    <w:rsid w:val="005D17D1"/>
    <w:rsid w:val="005D1863"/>
    <w:rsid w:val="005D1871"/>
    <w:rsid w:val="005D1985"/>
    <w:rsid w:val="005D1A4B"/>
    <w:rsid w:val="005D1B16"/>
    <w:rsid w:val="005D1B1A"/>
    <w:rsid w:val="005D1BA5"/>
    <w:rsid w:val="005D1BB3"/>
    <w:rsid w:val="005D1CC1"/>
    <w:rsid w:val="005D1DEA"/>
    <w:rsid w:val="005D1F2D"/>
    <w:rsid w:val="005D1FCC"/>
    <w:rsid w:val="005D2379"/>
    <w:rsid w:val="005D2435"/>
    <w:rsid w:val="005D2651"/>
    <w:rsid w:val="005D28A5"/>
    <w:rsid w:val="005D2AFD"/>
    <w:rsid w:val="005D2B5F"/>
    <w:rsid w:val="005D2B74"/>
    <w:rsid w:val="005D2C66"/>
    <w:rsid w:val="005D316A"/>
    <w:rsid w:val="005D31C0"/>
    <w:rsid w:val="005D323C"/>
    <w:rsid w:val="005D3278"/>
    <w:rsid w:val="005D3607"/>
    <w:rsid w:val="005D3817"/>
    <w:rsid w:val="005D3A0D"/>
    <w:rsid w:val="005D3D2B"/>
    <w:rsid w:val="005D4209"/>
    <w:rsid w:val="005D44C4"/>
    <w:rsid w:val="005D4744"/>
    <w:rsid w:val="005D47B9"/>
    <w:rsid w:val="005D4C51"/>
    <w:rsid w:val="005D4CA4"/>
    <w:rsid w:val="005D4CDA"/>
    <w:rsid w:val="005D4DB4"/>
    <w:rsid w:val="005D4E19"/>
    <w:rsid w:val="005D53BE"/>
    <w:rsid w:val="005D560F"/>
    <w:rsid w:val="005D5861"/>
    <w:rsid w:val="005D5A28"/>
    <w:rsid w:val="005D5AAF"/>
    <w:rsid w:val="005D5AC6"/>
    <w:rsid w:val="005D5EF3"/>
    <w:rsid w:val="005D5F02"/>
    <w:rsid w:val="005D5F6E"/>
    <w:rsid w:val="005D5F92"/>
    <w:rsid w:val="005D6280"/>
    <w:rsid w:val="005D6329"/>
    <w:rsid w:val="005D6409"/>
    <w:rsid w:val="005D665E"/>
    <w:rsid w:val="005D69A3"/>
    <w:rsid w:val="005D6D2F"/>
    <w:rsid w:val="005D70D0"/>
    <w:rsid w:val="005D725E"/>
    <w:rsid w:val="005D7263"/>
    <w:rsid w:val="005D7393"/>
    <w:rsid w:val="005D76C5"/>
    <w:rsid w:val="005D7994"/>
    <w:rsid w:val="005D7C4C"/>
    <w:rsid w:val="005D7C7B"/>
    <w:rsid w:val="005D7D8B"/>
    <w:rsid w:val="005D7EBA"/>
    <w:rsid w:val="005D7EF1"/>
    <w:rsid w:val="005D7F6A"/>
    <w:rsid w:val="005E0213"/>
    <w:rsid w:val="005E0374"/>
    <w:rsid w:val="005E05B0"/>
    <w:rsid w:val="005E05C7"/>
    <w:rsid w:val="005E067D"/>
    <w:rsid w:val="005E08AF"/>
    <w:rsid w:val="005E0932"/>
    <w:rsid w:val="005E09EB"/>
    <w:rsid w:val="005E0B37"/>
    <w:rsid w:val="005E0D68"/>
    <w:rsid w:val="005E11A0"/>
    <w:rsid w:val="005E1371"/>
    <w:rsid w:val="005E13B5"/>
    <w:rsid w:val="005E1481"/>
    <w:rsid w:val="005E1753"/>
    <w:rsid w:val="005E17F3"/>
    <w:rsid w:val="005E18EB"/>
    <w:rsid w:val="005E1978"/>
    <w:rsid w:val="005E1B53"/>
    <w:rsid w:val="005E1BE7"/>
    <w:rsid w:val="005E1C2B"/>
    <w:rsid w:val="005E1CD6"/>
    <w:rsid w:val="005E1D20"/>
    <w:rsid w:val="005E1DBD"/>
    <w:rsid w:val="005E1E17"/>
    <w:rsid w:val="005E1EB0"/>
    <w:rsid w:val="005E1F9C"/>
    <w:rsid w:val="005E1FAE"/>
    <w:rsid w:val="005E200D"/>
    <w:rsid w:val="005E2018"/>
    <w:rsid w:val="005E2144"/>
    <w:rsid w:val="005E223A"/>
    <w:rsid w:val="005E2785"/>
    <w:rsid w:val="005E291C"/>
    <w:rsid w:val="005E2C0C"/>
    <w:rsid w:val="005E2E0A"/>
    <w:rsid w:val="005E2E24"/>
    <w:rsid w:val="005E2E94"/>
    <w:rsid w:val="005E3010"/>
    <w:rsid w:val="005E3245"/>
    <w:rsid w:val="005E365D"/>
    <w:rsid w:val="005E38B2"/>
    <w:rsid w:val="005E39C4"/>
    <w:rsid w:val="005E39D1"/>
    <w:rsid w:val="005E39D9"/>
    <w:rsid w:val="005E3C0C"/>
    <w:rsid w:val="005E3C14"/>
    <w:rsid w:val="005E3D90"/>
    <w:rsid w:val="005E3EF0"/>
    <w:rsid w:val="005E3F25"/>
    <w:rsid w:val="005E3F56"/>
    <w:rsid w:val="005E4249"/>
    <w:rsid w:val="005E44DA"/>
    <w:rsid w:val="005E4593"/>
    <w:rsid w:val="005E45B2"/>
    <w:rsid w:val="005E47E7"/>
    <w:rsid w:val="005E490F"/>
    <w:rsid w:val="005E4919"/>
    <w:rsid w:val="005E4C87"/>
    <w:rsid w:val="005E4C9E"/>
    <w:rsid w:val="005E4D73"/>
    <w:rsid w:val="005E4F6E"/>
    <w:rsid w:val="005E5213"/>
    <w:rsid w:val="005E553D"/>
    <w:rsid w:val="005E57D2"/>
    <w:rsid w:val="005E5833"/>
    <w:rsid w:val="005E5A36"/>
    <w:rsid w:val="005E5BD3"/>
    <w:rsid w:val="005E5BED"/>
    <w:rsid w:val="005E5E8F"/>
    <w:rsid w:val="005E5F46"/>
    <w:rsid w:val="005E603F"/>
    <w:rsid w:val="005E629B"/>
    <w:rsid w:val="005E63B7"/>
    <w:rsid w:val="005E65C3"/>
    <w:rsid w:val="005E6734"/>
    <w:rsid w:val="005E6882"/>
    <w:rsid w:val="005E68EA"/>
    <w:rsid w:val="005E6940"/>
    <w:rsid w:val="005E69BB"/>
    <w:rsid w:val="005E6B59"/>
    <w:rsid w:val="005E6B65"/>
    <w:rsid w:val="005E6BF7"/>
    <w:rsid w:val="005E6C29"/>
    <w:rsid w:val="005E6CDF"/>
    <w:rsid w:val="005E6CF9"/>
    <w:rsid w:val="005E6F28"/>
    <w:rsid w:val="005E6F90"/>
    <w:rsid w:val="005E70D5"/>
    <w:rsid w:val="005E727B"/>
    <w:rsid w:val="005E762B"/>
    <w:rsid w:val="005E7774"/>
    <w:rsid w:val="005E778D"/>
    <w:rsid w:val="005E7B07"/>
    <w:rsid w:val="005E7C2E"/>
    <w:rsid w:val="005E7C8F"/>
    <w:rsid w:val="005E7D18"/>
    <w:rsid w:val="005E7F27"/>
    <w:rsid w:val="005F002C"/>
    <w:rsid w:val="005F008F"/>
    <w:rsid w:val="005F017C"/>
    <w:rsid w:val="005F01D3"/>
    <w:rsid w:val="005F04E9"/>
    <w:rsid w:val="005F0648"/>
    <w:rsid w:val="005F07A7"/>
    <w:rsid w:val="005F08B0"/>
    <w:rsid w:val="005F0A0C"/>
    <w:rsid w:val="005F0A77"/>
    <w:rsid w:val="005F0B21"/>
    <w:rsid w:val="005F0B60"/>
    <w:rsid w:val="005F0BBA"/>
    <w:rsid w:val="005F0C0A"/>
    <w:rsid w:val="005F0CEE"/>
    <w:rsid w:val="005F0D1B"/>
    <w:rsid w:val="005F0D2F"/>
    <w:rsid w:val="005F0D46"/>
    <w:rsid w:val="005F0E0F"/>
    <w:rsid w:val="005F0E81"/>
    <w:rsid w:val="005F0FB4"/>
    <w:rsid w:val="005F0FC0"/>
    <w:rsid w:val="005F11F1"/>
    <w:rsid w:val="005F12FD"/>
    <w:rsid w:val="005F1618"/>
    <w:rsid w:val="005F1667"/>
    <w:rsid w:val="005F16AC"/>
    <w:rsid w:val="005F16CD"/>
    <w:rsid w:val="005F19D8"/>
    <w:rsid w:val="005F1AD8"/>
    <w:rsid w:val="005F1BF2"/>
    <w:rsid w:val="005F1C36"/>
    <w:rsid w:val="005F1CC2"/>
    <w:rsid w:val="005F1D94"/>
    <w:rsid w:val="005F1FC8"/>
    <w:rsid w:val="005F22BC"/>
    <w:rsid w:val="005F247F"/>
    <w:rsid w:val="005F2523"/>
    <w:rsid w:val="005F2C26"/>
    <w:rsid w:val="005F2DA0"/>
    <w:rsid w:val="005F2DB7"/>
    <w:rsid w:val="005F2E67"/>
    <w:rsid w:val="005F2F91"/>
    <w:rsid w:val="005F2F9F"/>
    <w:rsid w:val="005F318F"/>
    <w:rsid w:val="005F320B"/>
    <w:rsid w:val="005F326D"/>
    <w:rsid w:val="005F3487"/>
    <w:rsid w:val="005F3515"/>
    <w:rsid w:val="005F35D8"/>
    <w:rsid w:val="005F38CB"/>
    <w:rsid w:val="005F3961"/>
    <w:rsid w:val="005F39EE"/>
    <w:rsid w:val="005F3BBF"/>
    <w:rsid w:val="005F3C15"/>
    <w:rsid w:val="005F3C6D"/>
    <w:rsid w:val="005F3C78"/>
    <w:rsid w:val="005F3CC2"/>
    <w:rsid w:val="005F3CCA"/>
    <w:rsid w:val="005F3DDA"/>
    <w:rsid w:val="005F3E86"/>
    <w:rsid w:val="005F3EBE"/>
    <w:rsid w:val="005F40D9"/>
    <w:rsid w:val="005F411C"/>
    <w:rsid w:val="005F444F"/>
    <w:rsid w:val="005F44AE"/>
    <w:rsid w:val="005F4733"/>
    <w:rsid w:val="005F482E"/>
    <w:rsid w:val="005F48A0"/>
    <w:rsid w:val="005F4A2C"/>
    <w:rsid w:val="005F4F18"/>
    <w:rsid w:val="005F507F"/>
    <w:rsid w:val="005F5195"/>
    <w:rsid w:val="005F51D3"/>
    <w:rsid w:val="005F52EB"/>
    <w:rsid w:val="005F5322"/>
    <w:rsid w:val="005F572D"/>
    <w:rsid w:val="005F5968"/>
    <w:rsid w:val="005F596A"/>
    <w:rsid w:val="005F5C29"/>
    <w:rsid w:val="005F5C63"/>
    <w:rsid w:val="005F5D1A"/>
    <w:rsid w:val="005F5F3D"/>
    <w:rsid w:val="005F6116"/>
    <w:rsid w:val="005F6131"/>
    <w:rsid w:val="005F62B3"/>
    <w:rsid w:val="005F6305"/>
    <w:rsid w:val="005F6425"/>
    <w:rsid w:val="005F6498"/>
    <w:rsid w:val="005F6756"/>
    <w:rsid w:val="005F68D5"/>
    <w:rsid w:val="005F6BCD"/>
    <w:rsid w:val="005F6D37"/>
    <w:rsid w:val="005F6D38"/>
    <w:rsid w:val="005F6DBF"/>
    <w:rsid w:val="005F6EDC"/>
    <w:rsid w:val="005F6F4D"/>
    <w:rsid w:val="005F6F56"/>
    <w:rsid w:val="005F6FB5"/>
    <w:rsid w:val="005F702D"/>
    <w:rsid w:val="005F706C"/>
    <w:rsid w:val="005F70EF"/>
    <w:rsid w:val="005F71EF"/>
    <w:rsid w:val="005F7259"/>
    <w:rsid w:val="005F77EC"/>
    <w:rsid w:val="005F7AD0"/>
    <w:rsid w:val="005F7C93"/>
    <w:rsid w:val="005F7F7B"/>
    <w:rsid w:val="005F7FB1"/>
    <w:rsid w:val="00600292"/>
    <w:rsid w:val="006003AD"/>
    <w:rsid w:val="00600457"/>
    <w:rsid w:val="0060075D"/>
    <w:rsid w:val="006008D6"/>
    <w:rsid w:val="006009EF"/>
    <w:rsid w:val="006012C8"/>
    <w:rsid w:val="006012F7"/>
    <w:rsid w:val="00601329"/>
    <w:rsid w:val="0060134C"/>
    <w:rsid w:val="006015F5"/>
    <w:rsid w:val="006019C0"/>
    <w:rsid w:val="00601DA1"/>
    <w:rsid w:val="00601DEE"/>
    <w:rsid w:val="006020C6"/>
    <w:rsid w:val="0060242E"/>
    <w:rsid w:val="00602476"/>
    <w:rsid w:val="00602479"/>
    <w:rsid w:val="0060249D"/>
    <w:rsid w:val="00602600"/>
    <w:rsid w:val="0060262B"/>
    <w:rsid w:val="00602789"/>
    <w:rsid w:val="006027B4"/>
    <w:rsid w:val="006029E4"/>
    <w:rsid w:val="00602C8C"/>
    <w:rsid w:val="00602EAB"/>
    <w:rsid w:val="006031B9"/>
    <w:rsid w:val="00603378"/>
    <w:rsid w:val="006033CF"/>
    <w:rsid w:val="006033EB"/>
    <w:rsid w:val="0060351E"/>
    <w:rsid w:val="00603871"/>
    <w:rsid w:val="00603BB3"/>
    <w:rsid w:val="00603BBE"/>
    <w:rsid w:val="00603C5B"/>
    <w:rsid w:val="00603C76"/>
    <w:rsid w:val="00603CE2"/>
    <w:rsid w:val="00603DCC"/>
    <w:rsid w:val="00603F1C"/>
    <w:rsid w:val="00603F2A"/>
    <w:rsid w:val="00603F7B"/>
    <w:rsid w:val="00603FBE"/>
    <w:rsid w:val="00604145"/>
    <w:rsid w:val="006042B5"/>
    <w:rsid w:val="00604616"/>
    <w:rsid w:val="0060469F"/>
    <w:rsid w:val="00604777"/>
    <w:rsid w:val="00604782"/>
    <w:rsid w:val="00604841"/>
    <w:rsid w:val="006049C3"/>
    <w:rsid w:val="00604A7A"/>
    <w:rsid w:val="00604B41"/>
    <w:rsid w:val="00604B4E"/>
    <w:rsid w:val="00604B83"/>
    <w:rsid w:val="00604BD2"/>
    <w:rsid w:val="00604C30"/>
    <w:rsid w:val="00604E2E"/>
    <w:rsid w:val="00605189"/>
    <w:rsid w:val="006052CE"/>
    <w:rsid w:val="006056ED"/>
    <w:rsid w:val="006058EC"/>
    <w:rsid w:val="00605970"/>
    <w:rsid w:val="006059EA"/>
    <w:rsid w:val="00605A06"/>
    <w:rsid w:val="00605A7C"/>
    <w:rsid w:val="00605BA6"/>
    <w:rsid w:val="00605C3B"/>
    <w:rsid w:val="00605CAA"/>
    <w:rsid w:val="00605CF1"/>
    <w:rsid w:val="00606171"/>
    <w:rsid w:val="0060687C"/>
    <w:rsid w:val="00606BFF"/>
    <w:rsid w:val="00606F48"/>
    <w:rsid w:val="006072E9"/>
    <w:rsid w:val="006072F8"/>
    <w:rsid w:val="0060754B"/>
    <w:rsid w:val="00607589"/>
    <w:rsid w:val="006075C3"/>
    <w:rsid w:val="006078F1"/>
    <w:rsid w:val="00607A7E"/>
    <w:rsid w:val="00607B44"/>
    <w:rsid w:val="00607BDF"/>
    <w:rsid w:val="00607C29"/>
    <w:rsid w:val="00607D1A"/>
    <w:rsid w:val="00607FA6"/>
    <w:rsid w:val="0061003A"/>
    <w:rsid w:val="0061012E"/>
    <w:rsid w:val="006102F7"/>
    <w:rsid w:val="006102FE"/>
    <w:rsid w:val="006104BF"/>
    <w:rsid w:val="00610694"/>
    <w:rsid w:val="006107D7"/>
    <w:rsid w:val="00610AB0"/>
    <w:rsid w:val="00610CA2"/>
    <w:rsid w:val="00610E3C"/>
    <w:rsid w:val="00610E6D"/>
    <w:rsid w:val="00610F1C"/>
    <w:rsid w:val="00610F5A"/>
    <w:rsid w:val="00610FE7"/>
    <w:rsid w:val="006112E9"/>
    <w:rsid w:val="006113F1"/>
    <w:rsid w:val="00611796"/>
    <w:rsid w:val="0061192F"/>
    <w:rsid w:val="00611B8B"/>
    <w:rsid w:val="00611CB4"/>
    <w:rsid w:val="00611ECB"/>
    <w:rsid w:val="00611F1D"/>
    <w:rsid w:val="0061207A"/>
    <w:rsid w:val="00612142"/>
    <w:rsid w:val="00612422"/>
    <w:rsid w:val="00612527"/>
    <w:rsid w:val="00612598"/>
    <w:rsid w:val="00612670"/>
    <w:rsid w:val="00612844"/>
    <w:rsid w:val="00612849"/>
    <w:rsid w:val="00612880"/>
    <w:rsid w:val="006128EC"/>
    <w:rsid w:val="00612A1E"/>
    <w:rsid w:val="00612BC3"/>
    <w:rsid w:val="00612C27"/>
    <w:rsid w:val="00612DC4"/>
    <w:rsid w:val="00612E38"/>
    <w:rsid w:val="00612E53"/>
    <w:rsid w:val="00613136"/>
    <w:rsid w:val="006131BF"/>
    <w:rsid w:val="00613822"/>
    <w:rsid w:val="00613AAC"/>
    <w:rsid w:val="00613BF2"/>
    <w:rsid w:val="00613C78"/>
    <w:rsid w:val="00613D02"/>
    <w:rsid w:val="00613D8A"/>
    <w:rsid w:val="00613D93"/>
    <w:rsid w:val="00613DC2"/>
    <w:rsid w:val="00613DD4"/>
    <w:rsid w:val="00613F18"/>
    <w:rsid w:val="00613F36"/>
    <w:rsid w:val="00614006"/>
    <w:rsid w:val="006141D3"/>
    <w:rsid w:val="0061424F"/>
    <w:rsid w:val="00614335"/>
    <w:rsid w:val="00614375"/>
    <w:rsid w:val="00614525"/>
    <w:rsid w:val="00614632"/>
    <w:rsid w:val="006146C2"/>
    <w:rsid w:val="00614780"/>
    <w:rsid w:val="0061487E"/>
    <w:rsid w:val="006148EC"/>
    <w:rsid w:val="0061494D"/>
    <w:rsid w:val="00614984"/>
    <w:rsid w:val="00614B50"/>
    <w:rsid w:val="00614B62"/>
    <w:rsid w:val="00615103"/>
    <w:rsid w:val="0061534E"/>
    <w:rsid w:val="00615545"/>
    <w:rsid w:val="006156B5"/>
    <w:rsid w:val="00615781"/>
    <w:rsid w:val="006158E6"/>
    <w:rsid w:val="00615A4E"/>
    <w:rsid w:val="00615CBD"/>
    <w:rsid w:val="00615FF9"/>
    <w:rsid w:val="00616008"/>
    <w:rsid w:val="006160C1"/>
    <w:rsid w:val="00616154"/>
    <w:rsid w:val="00616259"/>
    <w:rsid w:val="006163DB"/>
    <w:rsid w:val="006164DB"/>
    <w:rsid w:val="00616582"/>
    <w:rsid w:val="006165B7"/>
    <w:rsid w:val="006166EF"/>
    <w:rsid w:val="00616CA0"/>
    <w:rsid w:val="00616DB2"/>
    <w:rsid w:val="00616E2B"/>
    <w:rsid w:val="00617078"/>
    <w:rsid w:val="006171AE"/>
    <w:rsid w:val="006172EC"/>
    <w:rsid w:val="0061730E"/>
    <w:rsid w:val="0061733A"/>
    <w:rsid w:val="006178DF"/>
    <w:rsid w:val="00617B5F"/>
    <w:rsid w:val="00617C0D"/>
    <w:rsid w:val="00617F20"/>
    <w:rsid w:val="0061E225"/>
    <w:rsid w:val="00620164"/>
    <w:rsid w:val="006204F4"/>
    <w:rsid w:val="00620565"/>
    <w:rsid w:val="006207B3"/>
    <w:rsid w:val="0062104E"/>
    <w:rsid w:val="006212C3"/>
    <w:rsid w:val="0062139B"/>
    <w:rsid w:val="0062149B"/>
    <w:rsid w:val="006214D5"/>
    <w:rsid w:val="006216C4"/>
    <w:rsid w:val="006216D5"/>
    <w:rsid w:val="006217DA"/>
    <w:rsid w:val="0062198F"/>
    <w:rsid w:val="006219EB"/>
    <w:rsid w:val="00621A9F"/>
    <w:rsid w:val="00621D99"/>
    <w:rsid w:val="00621EA6"/>
    <w:rsid w:val="00621F54"/>
    <w:rsid w:val="00622008"/>
    <w:rsid w:val="006221A0"/>
    <w:rsid w:val="00622458"/>
    <w:rsid w:val="006225FF"/>
    <w:rsid w:val="006226A7"/>
    <w:rsid w:val="00622814"/>
    <w:rsid w:val="00622864"/>
    <w:rsid w:val="0062292B"/>
    <w:rsid w:val="00622BFB"/>
    <w:rsid w:val="00622C6C"/>
    <w:rsid w:val="00622DC9"/>
    <w:rsid w:val="00622F50"/>
    <w:rsid w:val="00622F6F"/>
    <w:rsid w:val="00623024"/>
    <w:rsid w:val="006231D6"/>
    <w:rsid w:val="00623450"/>
    <w:rsid w:val="00623476"/>
    <w:rsid w:val="00623654"/>
    <w:rsid w:val="00623726"/>
    <w:rsid w:val="006237A3"/>
    <w:rsid w:val="006237E5"/>
    <w:rsid w:val="006239D3"/>
    <w:rsid w:val="006239F3"/>
    <w:rsid w:val="00623A0C"/>
    <w:rsid w:val="00623A18"/>
    <w:rsid w:val="00623BC2"/>
    <w:rsid w:val="00623CC3"/>
    <w:rsid w:val="00623D4C"/>
    <w:rsid w:val="00623E84"/>
    <w:rsid w:val="00623F59"/>
    <w:rsid w:val="00623FE1"/>
    <w:rsid w:val="006240B1"/>
    <w:rsid w:val="00624296"/>
    <w:rsid w:val="006242F4"/>
    <w:rsid w:val="00624323"/>
    <w:rsid w:val="0062432F"/>
    <w:rsid w:val="0062433C"/>
    <w:rsid w:val="006243F4"/>
    <w:rsid w:val="00624413"/>
    <w:rsid w:val="006244D2"/>
    <w:rsid w:val="006246ED"/>
    <w:rsid w:val="0062492B"/>
    <w:rsid w:val="00624C8D"/>
    <w:rsid w:val="00624CF2"/>
    <w:rsid w:val="00624DB9"/>
    <w:rsid w:val="00624DCF"/>
    <w:rsid w:val="00624F71"/>
    <w:rsid w:val="00625364"/>
    <w:rsid w:val="00625398"/>
    <w:rsid w:val="006254C9"/>
    <w:rsid w:val="006254E7"/>
    <w:rsid w:val="00625586"/>
    <w:rsid w:val="006256B6"/>
    <w:rsid w:val="006258CD"/>
    <w:rsid w:val="00625C5B"/>
    <w:rsid w:val="00625D06"/>
    <w:rsid w:val="00625E47"/>
    <w:rsid w:val="00625E7D"/>
    <w:rsid w:val="00626018"/>
    <w:rsid w:val="006261C5"/>
    <w:rsid w:val="00626212"/>
    <w:rsid w:val="006262DD"/>
    <w:rsid w:val="0062636D"/>
    <w:rsid w:val="006266F2"/>
    <w:rsid w:val="00626921"/>
    <w:rsid w:val="0062694D"/>
    <w:rsid w:val="00626BBB"/>
    <w:rsid w:val="00626C71"/>
    <w:rsid w:val="00626DF0"/>
    <w:rsid w:val="00626E06"/>
    <w:rsid w:val="00626E1D"/>
    <w:rsid w:val="00626F1C"/>
    <w:rsid w:val="00626F2D"/>
    <w:rsid w:val="00626FC0"/>
    <w:rsid w:val="0062715D"/>
    <w:rsid w:val="006273EA"/>
    <w:rsid w:val="00627751"/>
    <w:rsid w:val="0062784E"/>
    <w:rsid w:val="0062787E"/>
    <w:rsid w:val="00627941"/>
    <w:rsid w:val="00627A72"/>
    <w:rsid w:val="00627CFF"/>
    <w:rsid w:val="00627DDA"/>
    <w:rsid w:val="00627E04"/>
    <w:rsid w:val="00627EBB"/>
    <w:rsid w:val="00630035"/>
    <w:rsid w:val="00630091"/>
    <w:rsid w:val="006300FB"/>
    <w:rsid w:val="006301BB"/>
    <w:rsid w:val="0063036A"/>
    <w:rsid w:val="00630379"/>
    <w:rsid w:val="006304DF"/>
    <w:rsid w:val="006304FA"/>
    <w:rsid w:val="00630561"/>
    <w:rsid w:val="0063062E"/>
    <w:rsid w:val="00630698"/>
    <w:rsid w:val="00630DFE"/>
    <w:rsid w:val="00630E03"/>
    <w:rsid w:val="00630E48"/>
    <w:rsid w:val="00630EAC"/>
    <w:rsid w:val="00630F22"/>
    <w:rsid w:val="0063102D"/>
    <w:rsid w:val="006312AF"/>
    <w:rsid w:val="006312BA"/>
    <w:rsid w:val="00631370"/>
    <w:rsid w:val="006313DE"/>
    <w:rsid w:val="00631587"/>
    <w:rsid w:val="006318AD"/>
    <w:rsid w:val="00631A56"/>
    <w:rsid w:val="00631B4F"/>
    <w:rsid w:val="00631BF8"/>
    <w:rsid w:val="00631DA6"/>
    <w:rsid w:val="00631E02"/>
    <w:rsid w:val="00632192"/>
    <w:rsid w:val="006324FB"/>
    <w:rsid w:val="0063274F"/>
    <w:rsid w:val="006328A0"/>
    <w:rsid w:val="00632B28"/>
    <w:rsid w:val="00632C8F"/>
    <w:rsid w:val="00632CB3"/>
    <w:rsid w:val="00632D04"/>
    <w:rsid w:val="00632D11"/>
    <w:rsid w:val="006331B8"/>
    <w:rsid w:val="006332BC"/>
    <w:rsid w:val="0063330E"/>
    <w:rsid w:val="00633322"/>
    <w:rsid w:val="00633355"/>
    <w:rsid w:val="00633359"/>
    <w:rsid w:val="006334AD"/>
    <w:rsid w:val="006335C1"/>
    <w:rsid w:val="00633692"/>
    <w:rsid w:val="006339AE"/>
    <w:rsid w:val="006339C3"/>
    <w:rsid w:val="006339FE"/>
    <w:rsid w:val="00633A4C"/>
    <w:rsid w:val="00633C23"/>
    <w:rsid w:val="00633DC7"/>
    <w:rsid w:val="00633E01"/>
    <w:rsid w:val="00633E32"/>
    <w:rsid w:val="00633ED1"/>
    <w:rsid w:val="00634319"/>
    <w:rsid w:val="006343D1"/>
    <w:rsid w:val="00634429"/>
    <w:rsid w:val="00634C13"/>
    <w:rsid w:val="0063524C"/>
    <w:rsid w:val="00635369"/>
    <w:rsid w:val="006354E2"/>
    <w:rsid w:val="006355B4"/>
    <w:rsid w:val="006356BB"/>
    <w:rsid w:val="006356CF"/>
    <w:rsid w:val="00635758"/>
    <w:rsid w:val="0063586E"/>
    <w:rsid w:val="006358EC"/>
    <w:rsid w:val="006358F7"/>
    <w:rsid w:val="00635972"/>
    <w:rsid w:val="006359BA"/>
    <w:rsid w:val="00635B4E"/>
    <w:rsid w:val="00635DFA"/>
    <w:rsid w:val="00635F2E"/>
    <w:rsid w:val="006360A7"/>
    <w:rsid w:val="00636107"/>
    <w:rsid w:val="00636307"/>
    <w:rsid w:val="00636337"/>
    <w:rsid w:val="00636357"/>
    <w:rsid w:val="006363A0"/>
    <w:rsid w:val="00636646"/>
    <w:rsid w:val="00636AC2"/>
    <w:rsid w:val="00636C94"/>
    <w:rsid w:val="00636D52"/>
    <w:rsid w:val="00636D6A"/>
    <w:rsid w:val="00636EE9"/>
    <w:rsid w:val="00636FBF"/>
    <w:rsid w:val="006371A2"/>
    <w:rsid w:val="0063745B"/>
    <w:rsid w:val="00637532"/>
    <w:rsid w:val="006375D3"/>
    <w:rsid w:val="0063760D"/>
    <w:rsid w:val="00637675"/>
    <w:rsid w:val="006377D5"/>
    <w:rsid w:val="006379E8"/>
    <w:rsid w:val="00637A1B"/>
    <w:rsid w:val="00637B5D"/>
    <w:rsid w:val="00637F72"/>
    <w:rsid w:val="006406A3"/>
    <w:rsid w:val="00640A2D"/>
    <w:rsid w:val="00640A8C"/>
    <w:rsid w:val="00640CFE"/>
    <w:rsid w:val="00640FB5"/>
    <w:rsid w:val="00640FCB"/>
    <w:rsid w:val="006410CB"/>
    <w:rsid w:val="006411D4"/>
    <w:rsid w:val="0064145E"/>
    <w:rsid w:val="00641480"/>
    <w:rsid w:val="0064148A"/>
    <w:rsid w:val="006415E6"/>
    <w:rsid w:val="006416AC"/>
    <w:rsid w:val="00641858"/>
    <w:rsid w:val="00641947"/>
    <w:rsid w:val="00641B9C"/>
    <w:rsid w:val="00641BE7"/>
    <w:rsid w:val="00641C74"/>
    <w:rsid w:val="00641D23"/>
    <w:rsid w:val="00641DC6"/>
    <w:rsid w:val="00641E1C"/>
    <w:rsid w:val="00641ECC"/>
    <w:rsid w:val="00642007"/>
    <w:rsid w:val="00642026"/>
    <w:rsid w:val="00642189"/>
    <w:rsid w:val="006421E8"/>
    <w:rsid w:val="006422CD"/>
    <w:rsid w:val="006422D4"/>
    <w:rsid w:val="006422D8"/>
    <w:rsid w:val="00642568"/>
    <w:rsid w:val="006425E4"/>
    <w:rsid w:val="006426F8"/>
    <w:rsid w:val="00642766"/>
    <w:rsid w:val="00642A09"/>
    <w:rsid w:val="00642B25"/>
    <w:rsid w:val="00642B66"/>
    <w:rsid w:val="00642B86"/>
    <w:rsid w:val="00642DDE"/>
    <w:rsid w:val="00643056"/>
    <w:rsid w:val="006431BD"/>
    <w:rsid w:val="00643235"/>
    <w:rsid w:val="006432AB"/>
    <w:rsid w:val="00643582"/>
    <w:rsid w:val="00643703"/>
    <w:rsid w:val="0064379D"/>
    <w:rsid w:val="006438F1"/>
    <w:rsid w:val="00643B14"/>
    <w:rsid w:val="00643C59"/>
    <w:rsid w:val="00643C93"/>
    <w:rsid w:val="00643D12"/>
    <w:rsid w:val="00643EDE"/>
    <w:rsid w:val="00643F90"/>
    <w:rsid w:val="006440F0"/>
    <w:rsid w:val="006441AF"/>
    <w:rsid w:val="0064422B"/>
    <w:rsid w:val="006443BC"/>
    <w:rsid w:val="00644544"/>
    <w:rsid w:val="00644555"/>
    <w:rsid w:val="00644CD9"/>
    <w:rsid w:val="00644E0C"/>
    <w:rsid w:val="00644FF0"/>
    <w:rsid w:val="0064504A"/>
    <w:rsid w:val="00645080"/>
    <w:rsid w:val="00645091"/>
    <w:rsid w:val="006454B4"/>
    <w:rsid w:val="006455C0"/>
    <w:rsid w:val="006456CC"/>
    <w:rsid w:val="006457BC"/>
    <w:rsid w:val="00645818"/>
    <w:rsid w:val="0064583D"/>
    <w:rsid w:val="00645AE8"/>
    <w:rsid w:val="00645BE4"/>
    <w:rsid w:val="00645D78"/>
    <w:rsid w:val="00645E5F"/>
    <w:rsid w:val="0064628B"/>
    <w:rsid w:val="0064632C"/>
    <w:rsid w:val="00646985"/>
    <w:rsid w:val="00646C20"/>
    <w:rsid w:val="00646D11"/>
    <w:rsid w:val="00646FD0"/>
    <w:rsid w:val="00647099"/>
    <w:rsid w:val="00647182"/>
    <w:rsid w:val="006472B6"/>
    <w:rsid w:val="00647335"/>
    <w:rsid w:val="0064741C"/>
    <w:rsid w:val="006474B9"/>
    <w:rsid w:val="006476B4"/>
    <w:rsid w:val="00647720"/>
    <w:rsid w:val="006478B7"/>
    <w:rsid w:val="006478E3"/>
    <w:rsid w:val="006479B3"/>
    <w:rsid w:val="006479FA"/>
    <w:rsid w:val="00647B56"/>
    <w:rsid w:val="00647DC6"/>
    <w:rsid w:val="00647F96"/>
    <w:rsid w:val="006500FC"/>
    <w:rsid w:val="00650339"/>
    <w:rsid w:val="00650529"/>
    <w:rsid w:val="00650564"/>
    <w:rsid w:val="00650712"/>
    <w:rsid w:val="00650854"/>
    <w:rsid w:val="00650956"/>
    <w:rsid w:val="00650B4D"/>
    <w:rsid w:val="00650C83"/>
    <w:rsid w:val="00650CAD"/>
    <w:rsid w:val="00650D6D"/>
    <w:rsid w:val="00650E27"/>
    <w:rsid w:val="00650EDE"/>
    <w:rsid w:val="00651044"/>
    <w:rsid w:val="0065104B"/>
    <w:rsid w:val="00651063"/>
    <w:rsid w:val="006510BB"/>
    <w:rsid w:val="006514FD"/>
    <w:rsid w:val="00651528"/>
    <w:rsid w:val="0065160E"/>
    <w:rsid w:val="00651797"/>
    <w:rsid w:val="006517CB"/>
    <w:rsid w:val="006518FE"/>
    <w:rsid w:val="00651902"/>
    <w:rsid w:val="00651A88"/>
    <w:rsid w:val="00651C0D"/>
    <w:rsid w:val="00651E8A"/>
    <w:rsid w:val="00651E9C"/>
    <w:rsid w:val="00652388"/>
    <w:rsid w:val="00652518"/>
    <w:rsid w:val="0065273D"/>
    <w:rsid w:val="006528CF"/>
    <w:rsid w:val="00652A1A"/>
    <w:rsid w:val="00653003"/>
    <w:rsid w:val="006531E3"/>
    <w:rsid w:val="006532FF"/>
    <w:rsid w:val="00653845"/>
    <w:rsid w:val="00653B3E"/>
    <w:rsid w:val="00653CA4"/>
    <w:rsid w:val="006540E7"/>
    <w:rsid w:val="006540ED"/>
    <w:rsid w:val="00654108"/>
    <w:rsid w:val="0065415A"/>
    <w:rsid w:val="00654255"/>
    <w:rsid w:val="0065439E"/>
    <w:rsid w:val="0065445A"/>
    <w:rsid w:val="00654481"/>
    <w:rsid w:val="0065458C"/>
    <w:rsid w:val="006545ED"/>
    <w:rsid w:val="00654739"/>
    <w:rsid w:val="006547A4"/>
    <w:rsid w:val="006547DF"/>
    <w:rsid w:val="00654A4C"/>
    <w:rsid w:val="00654C2D"/>
    <w:rsid w:val="00654C63"/>
    <w:rsid w:val="00654D14"/>
    <w:rsid w:val="00654D6C"/>
    <w:rsid w:val="00654E07"/>
    <w:rsid w:val="00654E2C"/>
    <w:rsid w:val="00654E7C"/>
    <w:rsid w:val="00654FA1"/>
    <w:rsid w:val="00655004"/>
    <w:rsid w:val="00655149"/>
    <w:rsid w:val="006552B4"/>
    <w:rsid w:val="00655355"/>
    <w:rsid w:val="006554CE"/>
    <w:rsid w:val="006558B9"/>
    <w:rsid w:val="006558ED"/>
    <w:rsid w:val="00655A65"/>
    <w:rsid w:val="00655ABE"/>
    <w:rsid w:val="00655D47"/>
    <w:rsid w:val="00655F36"/>
    <w:rsid w:val="00655F7A"/>
    <w:rsid w:val="006563B4"/>
    <w:rsid w:val="00656405"/>
    <w:rsid w:val="00656527"/>
    <w:rsid w:val="0065655E"/>
    <w:rsid w:val="00656B5F"/>
    <w:rsid w:val="00656DB3"/>
    <w:rsid w:val="00656F6A"/>
    <w:rsid w:val="00656F6E"/>
    <w:rsid w:val="006570D5"/>
    <w:rsid w:val="0065710F"/>
    <w:rsid w:val="00657208"/>
    <w:rsid w:val="0065720C"/>
    <w:rsid w:val="006578DA"/>
    <w:rsid w:val="00657A3A"/>
    <w:rsid w:val="00657ADA"/>
    <w:rsid w:val="00657BB7"/>
    <w:rsid w:val="00657C02"/>
    <w:rsid w:val="00657C95"/>
    <w:rsid w:val="00657CFA"/>
    <w:rsid w:val="0066001D"/>
    <w:rsid w:val="0066013B"/>
    <w:rsid w:val="00660158"/>
    <w:rsid w:val="00660433"/>
    <w:rsid w:val="00660435"/>
    <w:rsid w:val="0066081E"/>
    <w:rsid w:val="00660BBD"/>
    <w:rsid w:val="00660C38"/>
    <w:rsid w:val="00660C44"/>
    <w:rsid w:val="00660C60"/>
    <w:rsid w:val="00660E34"/>
    <w:rsid w:val="00660EC7"/>
    <w:rsid w:val="00661143"/>
    <w:rsid w:val="006613C8"/>
    <w:rsid w:val="006613F4"/>
    <w:rsid w:val="006614D9"/>
    <w:rsid w:val="00661623"/>
    <w:rsid w:val="00661690"/>
    <w:rsid w:val="006616CA"/>
    <w:rsid w:val="006618B5"/>
    <w:rsid w:val="0066197A"/>
    <w:rsid w:val="006619EF"/>
    <w:rsid w:val="00661B5A"/>
    <w:rsid w:val="00661CE4"/>
    <w:rsid w:val="00661D3A"/>
    <w:rsid w:val="00661D62"/>
    <w:rsid w:val="00661D9B"/>
    <w:rsid w:val="00661F00"/>
    <w:rsid w:val="00661FA2"/>
    <w:rsid w:val="0066211D"/>
    <w:rsid w:val="0066217A"/>
    <w:rsid w:val="0066226E"/>
    <w:rsid w:val="0066229F"/>
    <w:rsid w:val="00662627"/>
    <w:rsid w:val="00662729"/>
    <w:rsid w:val="00662829"/>
    <w:rsid w:val="006628F2"/>
    <w:rsid w:val="006628FE"/>
    <w:rsid w:val="00662B57"/>
    <w:rsid w:val="00662B6B"/>
    <w:rsid w:val="00662C3D"/>
    <w:rsid w:val="00662C5B"/>
    <w:rsid w:val="00663031"/>
    <w:rsid w:val="00663157"/>
    <w:rsid w:val="00663162"/>
    <w:rsid w:val="00663227"/>
    <w:rsid w:val="00663418"/>
    <w:rsid w:val="006634CA"/>
    <w:rsid w:val="006634D3"/>
    <w:rsid w:val="00663529"/>
    <w:rsid w:val="00663868"/>
    <w:rsid w:val="00663C48"/>
    <w:rsid w:val="00663EF9"/>
    <w:rsid w:val="00664160"/>
    <w:rsid w:val="006642F0"/>
    <w:rsid w:val="006642FE"/>
    <w:rsid w:val="006645B9"/>
    <w:rsid w:val="00664787"/>
    <w:rsid w:val="0066483C"/>
    <w:rsid w:val="006648F0"/>
    <w:rsid w:val="00664955"/>
    <w:rsid w:val="00664AFC"/>
    <w:rsid w:val="00664C28"/>
    <w:rsid w:val="006651DD"/>
    <w:rsid w:val="006655FC"/>
    <w:rsid w:val="006656C2"/>
    <w:rsid w:val="006657BE"/>
    <w:rsid w:val="00665CF0"/>
    <w:rsid w:val="00665D62"/>
    <w:rsid w:val="00665E03"/>
    <w:rsid w:val="00665F00"/>
    <w:rsid w:val="00666789"/>
    <w:rsid w:val="00666930"/>
    <w:rsid w:val="00666C5E"/>
    <w:rsid w:val="00666DF0"/>
    <w:rsid w:val="0066748E"/>
    <w:rsid w:val="0066750E"/>
    <w:rsid w:val="006675D4"/>
    <w:rsid w:val="006676B1"/>
    <w:rsid w:val="00667733"/>
    <w:rsid w:val="006678A7"/>
    <w:rsid w:val="00667A92"/>
    <w:rsid w:val="00667A97"/>
    <w:rsid w:val="006702F7"/>
    <w:rsid w:val="0067030E"/>
    <w:rsid w:val="00670406"/>
    <w:rsid w:val="00670695"/>
    <w:rsid w:val="00670782"/>
    <w:rsid w:val="0067097C"/>
    <w:rsid w:val="00670B5F"/>
    <w:rsid w:val="00670BBB"/>
    <w:rsid w:val="00670D33"/>
    <w:rsid w:val="00670DE9"/>
    <w:rsid w:val="00670E77"/>
    <w:rsid w:val="00670EFC"/>
    <w:rsid w:val="00670FE5"/>
    <w:rsid w:val="00670FF8"/>
    <w:rsid w:val="00671001"/>
    <w:rsid w:val="00671278"/>
    <w:rsid w:val="006713B7"/>
    <w:rsid w:val="006714AF"/>
    <w:rsid w:val="00671577"/>
    <w:rsid w:val="00671743"/>
    <w:rsid w:val="0067177B"/>
    <w:rsid w:val="0067183E"/>
    <w:rsid w:val="00671853"/>
    <w:rsid w:val="00671AF1"/>
    <w:rsid w:val="00671B08"/>
    <w:rsid w:val="00671B57"/>
    <w:rsid w:val="00671B88"/>
    <w:rsid w:val="00671C0F"/>
    <w:rsid w:val="00671DE3"/>
    <w:rsid w:val="00671E19"/>
    <w:rsid w:val="00671FAC"/>
    <w:rsid w:val="00672094"/>
    <w:rsid w:val="006722D3"/>
    <w:rsid w:val="006723D8"/>
    <w:rsid w:val="0067269A"/>
    <w:rsid w:val="006728F2"/>
    <w:rsid w:val="00672B0A"/>
    <w:rsid w:val="006731B1"/>
    <w:rsid w:val="00673503"/>
    <w:rsid w:val="00673558"/>
    <w:rsid w:val="006738B1"/>
    <w:rsid w:val="0067395F"/>
    <w:rsid w:val="006739A8"/>
    <w:rsid w:val="006739CC"/>
    <w:rsid w:val="00673C58"/>
    <w:rsid w:val="00673EA0"/>
    <w:rsid w:val="006740C6"/>
    <w:rsid w:val="00674201"/>
    <w:rsid w:val="006742E8"/>
    <w:rsid w:val="006743E3"/>
    <w:rsid w:val="00674729"/>
    <w:rsid w:val="00674943"/>
    <w:rsid w:val="00674AB4"/>
    <w:rsid w:val="00674E3D"/>
    <w:rsid w:val="00674F4E"/>
    <w:rsid w:val="00674FF3"/>
    <w:rsid w:val="00674FF6"/>
    <w:rsid w:val="006750B5"/>
    <w:rsid w:val="006750FE"/>
    <w:rsid w:val="006751FD"/>
    <w:rsid w:val="0067557A"/>
    <w:rsid w:val="0067562E"/>
    <w:rsid w:val="006756D1"/>
    <w:rsid w:val="00675902"/>
    <w:rsid w:val="00675C25"/>
    <w:rsid w:val="00675CDE"/>
    <w:rsid w:val="00675DA0"/>
    <w:rsid w:val="00675E64"/>
    <w:rsid w:val="00676049"/>
    <w:rsid w:val="00676260"/>
    <w:rsid w:val="006763F3"/>
    <w:rsid w:val="00676995"/>
    <w:rsid w:val="006769CF"/>
    <w:rsid w:val="00676C00"/>
    <w:rsid w:val="00676D0A"/>
    <w:rsid w:val="00676D9E"/>
    <w:rsid w:val="00676EC3"/>
    <w:rsid w:val="00676F81"/>
    <w:rsid w:val="0067712D"/>
    <w:rsid w:val="006771F6"/>
    <w:rsid w:val="0067734D"/>
    <w:rsid w:val="00677A8C"/>
    <w:rsid w:val="00677B15"/>
    <w:rsid w:val="00677EF3"/>
    <w:rsid w:val="00677F50"/>
    <w:rsid w:val="00677F81"/>
    <w:rsid w:val="0067A7A3"/>
    <w:rsid w:val="0067DA74"/>
    <w:rsid w:val="006803D1"/>
    <w:rsid w:val="006806DD"/>
    <w:rsid w:val="006806EA"/>
    <w:rsid w:val="00680838"/>
    <w:rsid w:val="006809D8"/>
    <w:rsid w:val="00680A2E"/>
    <w:rsid w:val="00680A40"/>
    <w:rsid w:val="00680AB4"/>
    <w:rsid w:val="00680BB7"/>
    <w:rsid w:val="00680D17"/>
    <w:rsid w:val="00680E4D"/>
    <w:rsid w:val="00680EBC"/>
    <w:rsid w:val="00680ED5"/>
    <w:rsid w:val="00680EDD"/>
    <w:rsid w:val="00680EEA"/>
    <w:rsid w:val="00680F48"/>
    <w:rsid w:val="0068135F"/>
    <w:rsid w:val="00681418"/>
    <w:rsid w:val="00681958"/>
    <w:rsid w:val="00681A1E"/>
    <w:rsid w:val="00681A34"/>
    <w:rsid w:val="00681B77"/>
    <w:rsid w:val="00681C1E"/>
    <w:rsid w:val="00681CA6"/>
    <w:rsid w:val="00681D7B"/>
    <w:rsid w:val="00681E32"/>
    <w:rsid w:val="00681EE5"/>
    <w:rsid w:val="00682114"/>
    <w:rsid w:val="0068217F"/>
    <w:rsid w:val="00682288"/>
    <w:rsid w:val="00682753"/>
    <w:rsid w:val="006828C0"/>
    <w:rsid w:val="00682C9A"/>
    <w:rsid w:val="00682E82"/>
    <w:rsid w:val="00682FE1"/>
    <w:rsid w:val="00683058"/>
    <w:rsid w:val="006832DF"/>
    <w:rsid w:val="006832E4"/>
    <w:rsid w:val="00683672"/>
    <w:rsid w:val="006836E7"/>
    <w:rsid w:val="00683EB9"/>
    <w:rsid w:val="006841E2"/>
    <w:rsid w:val="006842C4"/>
    <w:rsid w:val="0068431F"/>
    <w:rsid w:val="00684408"/>
    <w:rsid w:val="00684698"/>
    <w:rsid w:val="006846AD"/>
    <w:rsid w:val="006846F8"/>
    <w:rsid w:val="00684BE7"/>
    <w:rsid w:val="00684C1A"/>
    <w:rsid w:val="00684D35"/>
    <w:rsid w:val="00684DD7"/>
    <w:rsid w:val="00685153"/>
    <w:rsid w:val="006851B6"/>
    <w:rsid w:val="00685224"/>
    <w:rsid w:val="00685255"/>
    <w:rsid w:val="00685396"/>
    <w:rsid w:val="00685419"/>
    <w:rsid w:val="00685638"/>
    <w:rsid w:val="006858CF"/>
    <w:rsid w:val="00685AC7"/>
    <w:rsid w:val="00685C3C"/>
    <w:rsid w:val="00685D74"/>
    <w:rsid w:val="00685E5D"/>
    <w:rsid w:val="00685F69"/>
    <w:rsid w:val="00685FB3"/>
    <w:rsid w:val="00686029"/>
    <w:rsid w:val="006861E3"/>
    <w:rsid w:val="00686310"/>
    <w:rsid w:val="0068651E"/>
    <w:rsid w:val="006865C7"/>
    <w:rsid w:val="0068686D"/>
    <w:rsid w:val="00686A30"/>
    <w:rsid w:val="00686A64"/>
    <w:rsid w:val="00686ADE"/>
    <w:rsid w:val="00686AF3"/>
    <w:rsid w:val="00686C7C"/>
    <w:rsid w:val="00686CB6"/>
    <w:rsid w:val="00686F35"/>
    <w:rsid w:val="006872A2"/>
    <w:rsid w:val="006872C4"/>
    <w:rsid w:val="006874E5"/>
    <w:rsid w:val="006874F3"/>
    <w:rsid w:val="00687540"/>
    <w:rsid w:val="00687547"/>
    <w:rsid w:val="006879B4"/>
    <w:rsid w:val="00687BAB"/>
    <w:rsid w:val="00687CAF"/>
    <w:rsid w:val="00687D3E"/>
    <w:rsid w:val="00687F52"/>
    <w:rsid w:val="00687F91"/>
    <w:rsid w:val="00690189"/>
    <w:rsid w:val="00690471"/>
    <w:rsid w:val="006904A7"/>
    <w:rsid w:val="0069053E"/>
    <w:rsid w:val="0069054B"/>
    <w:rsid w:val="00690810"/>
    <w:rsid w:val="0069098D"/>
    <w:rsid w:val="00690A87"/>
    <w:rsid w:val="00690AEF"/>
    <w:rsid w:val="00690C5D"/>
    <w:rsid w:val="00690D47"/>
    <w:rsid w:val="00690FBE"/>
    <w:rsid w:val="00690FEC"/>
    <w:rsid w:val="0069107C"/>
    <w:rsid w:val="006911A9"/>
    <w:rsid w:val="006911E9"/>
    <w:rsid w:val="006911ED"/>
    <w:rsid w:val="0069123E"/>
    <w:rsid w:val="00691406"/>
    <w:rsid w:val="006914B0"/>
    <w:rsid w:val="00691593"/>
    <w:rsid w:val="0069164A"/>
    <w:rsid w:val="006918F2"/>
    <w:rsid w:val="00691A97"/>
    <w:rsid w:val="00691B01"/>
    <w:rsid w:val="00691E7C"/>
    <w:rsid w:val="00691E94"/>
    <w:rsid w:val="00692075"/>
    <w:rsid w:val="00692101"/>
    <w:rsid w:val="00692430"/>
    <w:rsid w:val="0069244F"/>
    <w:rsid w:val="00692457"/>
    <w:rsid w:val="00692486"/>
    <w:rsid w:val="006925C4"/>
    <w:rsid w:val="006925F6"/>
    <w:rsid w:val="00692732"/>
    <w:rsid w:val="00692B84"/>
    <w:rsid w:val="00692D0C"/>
    <w:rsid w:val="00692DB4"/>
    <w:rsid w:val="00692E19"/>
    <w:rsid w:val="00692E69"/>
    <w:rsid w:val="00692EAC"/>
    <w:rsid w:val="00692F7C"/>
    <w:rsid w:val="00692F9A"/>
    <w:rsid w:val="0069311C"/>
    <w:rsid w:val="00693189"/>
    <w:rsid w:val="006932DF"/>
    <w:rsid w:val="00693351"/>
    <w:rsid w:val="006933A9"/>
    <w:rsid w:val="0069351F"/>
    <w:rsid w:val="006936C2"/>
    <w:rsid w:val="00693946"/>
    <w:rsid w:val="0069399C"/>
    <w:rsid w:val="00693FAA"/>
    <w:rsid w:val="00694011"/>
    <w:rsid w:val="0069413E"/>
    <w:rsid w:val="0069413F"/>
    <w:rsid w:val="00694329"/>
    <w:rsid w:val="0069432D"/>
    <w:rsid w:val="0069443B"/>
    <w:rsid w:val="0069460A"/>
    <w:rsid w:val="00694664"/>
    <w:rsid w:val="00694666"/>
    <w:rsid w:val="00694752"/>
    <w:rsid w:val="00694780"/>
    <w:rsid w:val="006947A9"/>
    <w:rsid w:val="006947DD"/>
    <w:rsid w:val="00694B56"/>
    <w:rsid w:val="00694BEE"/>
    <w:rsid w:val="00694D79"/>
    <w:rsid w:val="00694F24"/>
    <w:rsid w:val="00694F35"/>
    <w:rsid w:val="00694F42"/>
    <w:rsid w:val="00694F44"/>
    <w:rsid w:val="00694F51"/>
    <w:rsid w:val="0069516F"/>
    <w:rsid w:val="0069573F"/>
    <w:rsid w:val="006959AC"/>
    <w:rsid w:val="00695C34"/>
    <w:rsid w:val="00695C71"/>
    <w:rsid w:val="00695FD7"/>
    <w:rsid w:val="00696007"/>
    <w:rsid w:val="00696243"/>
    <w:rsid w:val="00696649"/>
    <w:rsid w:val="00696A02"/>
    <w:rsid w:val="00696A1C"/>
    <w:rsid w:val="00696B21"/>
    <w:rsid w:val="00696CCE"/>
    <w:rsid w:val="00696E66"/>
    <w:rsid w:val="00697273"/>
    <w:rsid w:val="006972BE"/>
    <w:rsid w:val="00697492"/>
    <w:rsid w:val="006974D1"/>
    <w:rsid w:val="006975FA"/>
    <w:rsid w:val="00697637"/>
    <w:rsid w:val="00697925"/>
    <w:rsid w:val="0069795B"/>
    <w:rsid w:val="006979C5"/>
    <w:rsid w:val="00697A26"/>
    <w:rsid w:val="00697B1A"/>
    <w:rsid w:val="00697D56"/>
    <w:rsid w:val="00697E67"/>
    <w:rsid w:val="006A006A"/>
    <w:rsid w:val="006A00DC"/>
    <w:rsid w:val="006A027E"/>
    <w:rsid w:val="006A0450"/>
    <w:rsid w:val="006A0497"/>
    <w:rsid w:val="006A0559"/>
    <w:rsid w:val="006A057B"/>
    <w:rsid w:val="006A0580"/>
    <w:rsid w:val="006A0806"/>
    <w:rsid w:val="006A089A"/>
    <w:rsid w:val="006A0A84"/>
    <w:rsid w:val="006A0A96"/>
    <w:rsid w:val="006A0CED"/>
    <w:rsid w:val="006A0CEE"/>
    <w:rsid w:val="006A145B"/>
    <w:rsid w:val="006A155B"/>
    <w:rsid w:val="006A15C8"/>
    <w:rsid w:val="006A1664"/>
    <w:rsid w:val="006A167D"/>
    <w:rsid w:val="006A176D"/>
    <w:rsid w:val="006A17A0"/>
    <w:rsid w:val="006A181B"/>
    <w:rsid w:val="006A1983"/>
    <w:rsid w:val="006A1C88"/>
    <w:rsid w:val="006A1FBE"/>
    <w:rsid w:val="006A20A6"/>
    <w:rsid w:val="006A2195"/>
    <w:rsid w:val="006A2346"/>
    <w:rsid w:val="006A2393"/>
    <w:rsid w:val="006A23FC"/>
    <w:rsid w:val="006A24C6"/>
    <w:rsid w:val="006A25B2"/>
    <w:rsid w:val="006A2868"/>
    <w:rsid w:val="006A294A"/>
    <w:rsid w:val="006A2987"/>
    <w:rsid w:val="006A2AEF"/>
    <w:rsid w:val="006A2BE5"/>
    <w:rsid w:val="006A2C21"/>
    <w:rsid w:val="006A2CF8"/>
    <w:rsid w:val="006A2D61"/>
    <w:rsid w:val="006A2FBF"/>
    <w:rsid w:val="006A30C7"/>
    <w:rsid w:val="006A350E"/>
    <w:rsid w:val="006A3B8B"/>
    <w:rsid w:val="006A3CED"/>
    <w:rsid w:val="006A3DE2"/>
    <w:rsid w:val="006A3F4F"/>
    <w:rsid w:val="006A3F92"/>
    <w:rsid w:val="006A4011"/>
    <w:rsid w:val="006A4269"/>
    <w:rsid w:val="006A44BA"/>
    <w:rsid w:val="006A44C3"/>
    <w:rsid w:val="006A45DF"/>
    <w:rsid w:val="006A4735"/>
    <w:rsid w:val="006A47D7"/>
    <w:rsid w:val="006A47F6"/>
    <w:rsid w:val="006A49A3"/>
    <w:rsid w:val="006A4F24"/>
    <w:rsid w:val="006A4F72"/>
    <w:rsid w:val="006A500E"/>
    <w:rsid w:val="006A5117"/>
    <w:rsid w:val="006A53D9"/>
    <w:rsid w:val="006A5444"/>
    <w:rsid w:val="006A5742"/>
    <w:rsid w:val="006A5754"/>
    <w:rsid w:val="006A57FC"/>
    <w:rsid w:val="006A5894"/>
    <w:rsid w:val="006A58EE"/>
    <w:rsid w:val="006A5A76"/>
    <w:rsid w:val="006A5BF6"/>
    <w:rsid w:val="006A5CEC"/>
    <w:rsid w:val="006A601E"/>
    <w:rsid w:val="006A61C3"/>
    <w:rsid w:val="006A641B"/>
    <w:rsid w:val="006A6479"/>
    <w:rsid w:val="006A6AD3"/>
    <w:rsid w:val="006A6B05"/>
    <w:rsid w:val="006A6EAA"/>
    <w:rsid w:val="006A6F26"/>
    <w:rsid w:val="006A7090"/>
    <w:rsid w:val="006A70FC"/>
    <w:rsid w:val="006A7119"/>
    <w:rsid w:val="006A7137"/>
    <w:rsid w:val="006A71D1"/>
    <w:rsid w:val="006A729E"/>
    <w:rsid w:val="006A72FA"/>
    <w:rsid w:val="006A7943"/>
    <w:rsid w:val="006A799C"/>
    <w:rsid w:val="006A7BE4"/>
    <w:rsid w:val="006A7D04"/>
    <w:rsid w:val="006A7DA6"/>
    <w:rsid w:val="006A7DC9"/>
    <w:rsid w:val="006A7EA0"/>
    <w:rsid w:val="006B005C"/>
    <w:rsid w:val="006B00B2"/>
    <w:rsid w:val="006B01EB"/>
    <w:rsid w:val="006B02D7"/>
    <w:rsid w:val="006B0670"/>
    <w:rsid w:val="006B06F5"/>
    <w:rsid w:val="006B0700"/>
    <w:rsid w:val="006B0858"/>
    <w:rsid w:val="006B0909"/>
    <w:rsid w:val="006B0940"/>
    <w:rsid w:val="006B094B"/>
    <w:rsid w:val="006B0BE3"/>
    <w:rsid w:val="006B0C9F"/>
    <w:rsid w:val="006B0CB0"/>
    <w:rsid w:val="006B0CCC"/>
    <w:rsid w:val="006B0DDC"/>
    <w:rsid w:val="006B0E3F"/>
    <w:rsid w:val="006B0F3C"/>
    <w:rsid w:val="006B0FD2"/>
    <w:rsid w:val="006B1003"/>
    <w:rsid w:val="006B106B"/>
    <w:rsid w:val="006B10B4"/>
    <w:rsid w:val="006B12A6"/>
    <w:rsid w:val="006B1302"/>
    <w:rsid w:val="006B14D7"/>
    <w:rsid w:val="006B15CC"/>
    <w:rsid w:val="006B16A8"/>
    <w:rsid w:val="006B1803"/>
    <w:rsid w:val="006B1AB1"/>
    <w:rsid w:val="006B1D16"/>
    <w:rsid w:val="006B1E37"/>
    <w:rsid w:val="006B1FFE"/>
    <w:rsid w:val="006B20EF"/>
    <w:rsid w:val="006B23D7"/>
    <w:rsid w:val="006B249F"/>
    <w:rsid w:val="006B259B"/>
    <w:rsid w:val="006B2658"/>
    <w:rsid w:val="006B267B"/>
    <w:rsid w:val="006B28BD"/>
    <w:rsid w:val="006B2925"/>
    <w:rsid w:val="006B2B46"/>
    <w:rsid w:val="006B2B9D"/>
    <w:rsid w:val="006B2BCC"/>
    <w:rsid w:val="006B3054"/>
    <w:rsid w:val="006B306D"/>
    <w:rsid w:val="006B3382"/>
    <w:rsid w:val="006B33E5"/>
    <w:rsid w:val="006B3581"/>
    <w:rsid w:val="006B35FE"/>
    <w:rsid w:val="006B366E"/>
    <w:rsid w:val="006B3677"/>
    <w:rsid w:val="006B36C7"/>
    <w:rsid w:val="006B3710"/>
    <w:rsid w:val="006B3720"/>
    <w:rsid w:val="006B3893"/>
    <w:rsid w:val="006B3900"/>
    <w:rsid w:val="006B3BE3"/>
    <w:rsid w:val="006B4023"/>
    <w:rsid w:val="006B44A0"/>
    <w:rsid w:val="006B48DE"/>
    <w:rsid w:val="006B491B"/>
    <w:rsid w:val="006B4993"/>
    <w:rsid w:val="006B4A6F"/>
    <w:rsid w:val="006B4B33"/>
    <w:rsid w:val="006B4BA1"/>
    <w:rsid w:val="006B4D00"/>
    <w:rsid w:val="006B4D26"/>
    <w:rsid w:val="006B4E01"/>
    <w:rsid w:val="006B4E63"/>
    <w:rsid w:val="006B4F6C"/>
    <w:rsid w:val="006B51E3"/>
    <w:rsid w:val="006B5408"/>
    <w:rsid w:val="006B560C"/>
    <w:rsid w:val="006B59B3"/>
    <w:rsid w:val="006B5B3F"/>
    <w:rsid w:val="006B5D94"/>
    <w:rsid w:val="006B6374"/>
    <w:rsid w:val="006B63BA"/>
    <w:rsid w:val="006B667D"/>
    <w:rsid w:val="006B6870"/>
    <w:rsid w:val="006B6925"/>
    <w:rsid w:val="006B69BC"/>
    <w:rsid w:val="006B69D9"/>
    <w:rsid w:val="006B69DF"/>
    <w:rsid w:val="006B6B23"/>
    <w:rsid w:val="006B6E2B"/>
    <w:rsid w:val="006B6F78"/>
    <w:rsid w:val="006B6FAA"/>
    <w:rsid w:val="006B6FDB"/>
    <w:rsid w:val="006B7514"/>
    <w:rsid w:val="006B751A"/>
    <w:rsid w:val="006B7748"/>
    <w:rsid w:val="006B7998"/>
    <w:rsid w:val="006B7AAE"/>
    <w:rsid w:val="006B7E43"/>
    <w:rsid w:val="006B7E4C"/>
    <w:rsid w:val="006C0262"/>
    <w:rsid w:val="006C04B3"/>
    <w:rsid w:val="006C0976"/>
    <w:rsid w:val="006C0BC6"/>
    <w:rsid w:val="006C0D35"/>
    <w:rsid w:val="006C0EDF"/>
    <w:rsid w:val="006C0FCE"/>
    <w:rsid w:val="006C1025"/>
    <w:rsid w:val="006C11FB"/>
    <w:rsid w:val="006C1346"/>
    <w:rsid w:val="006C13E2"/>
    <w:rsid w:val="006C15DA"/>
    <w:rsid w:val="006C1607"/>
    <w:rsid w:val="006C16E5"/>
    <w:rsid w:val="006C17E2"/>
    <w:rsid w:val="006C1833"/>
    <w:rsid w:val="006C1955"/>
    <w:rsid w:val="006C19C6"/>
    <w:rsid w:val="006C1AA1"/>
    <w:rsid w:val="006C1B79"/>
    <w:rsid w:val="006C1E16"/>
    <w:rsid w:val="006C224E"/>
    <w:rsid w:val="006C2431"/>
    <w:rsid w:val="006C24C4"/>
    <w:rsid w:val="006C2789"/>
    <w:rsid w:val="006C27EA"/>
    <w:rsid w:val="006C29A9"/>
    <w:rsid w:val="006C2B70"/>
    <w:rsid w:val="006C30C3"/>
    <w:rsid w:val="006C312B"/>
    <w:rsid w:val="006C31DB"/>
    <w:rsid w:val="006C34E8"/>
    <w:rsid w:val="006C3547"/>
    <w:rsid w:val="006C36CA"/>
    <w:rsid w:val="006C3703"/>
    <w:rsid w:val="006C3732"/>
    <w:rsid w:val="006C3765"/>
    <w:rsid w:val="006C3953"/>
    <w:rsid w:val="006C3A3F"/>
    <w:rsid w:val="006C3EC9"/>
    <w:rsid w:val="006C3F78"/>
    <w:rsid w:val="006C4016"/>
    <w:rsid w:val="006C406A"/>
    <w:rsid w:val="006C42DA"/>
    <w:rsid w:val="006C43E8"/>
    <w:rsid w:val="006C43EC"/>
    <w:rsid w:val="006C4570"/>
    <w:rsid w:val="006C4A54"/>
    <w:rsid w:val="006C4C06"/>
    <w:rsid w:val="006C4D5B"/>
    <w:rsid w:val="006C4DC1"/>
    <w:rsid w:val="006C4E76"/>
    <w:rsid w:val="006C518F"/>
    <w:rsid w:val="006C536A"/>
    <w:rsid w:val="006C5443"/>
    <w:rsid w:val="006C557B"/>
    <w:rsid w:val="006C55E5"/>
    <w:rsid w:val="006C59B6"/>
    <w:rsid w:val="006C5AAE"/>
    <w:rsid w:val="006C5C28"/>
    <w:rsid w:val="006C5D09"/>
    <w:rsid w:val="006C5FF3"/>
    <w:rsid w:val="006C6777"/>
    <w:rsid w:val="006C6C03"/>
    <w:rsid w:val="006C6C99"/>
    <w:rsid w:val="006C6CD8"/>
    <w:rsid w:val="006C6DFC"/>
    <w:rsid w:val="006C6F0F"/>
    <w:rsid w:val="006C6FDD"/>
    <w:rsid w:val="006C70C6"/>
    <w:rsid w:val="006C71DF"/>
    <w:rsid w:val="006C742E"/>
    <w:rsid w:val="006C74ED"/>
    <w:rsid w:val="006C74F4"/>
    <w:rsid w:val="006C762E"/>
    <w:rsid w:val="006C76BB"/>
    <w:rsid w:val="006C78CE"/>
    <w:rsid w:val="006C7952"/>
    <w:rsid w:val="006C7960"/>
    <w:rsid w:val="006C799B"/>
    <w:rsid w:val="006C79CC"/>
    <w:rsid w:val="006C7C65"/>
    <w:rsid w:val="006C7D29"/>
    <w:rsid w:val="006C7ECB"/>
    <w:rsid w:val="006C7F1A"/>
    <w:rsid w:val="006C7F45"/>
    <w:rsid w:val="006C7F8F"/>
    <w:rsid w:val="006CDC7A"/>
    <w:rsid w:val="006D027A"/>
    <w:rsid w:val="006D0364"/>
    <w:rsid w:val="006D0389"/>
    <w:rsid w:val="006D0400"/>
    <w:rsid w:val="006D0413"/>
    <w:rsid w:val="006D0838"/>
    <w:rsid w:val="006D0ACF"/>
    <w:rsid w:val="006D0B80"/>
    <w:rsid w:val="006D0C97"/>
    <w:rsid w:val="006D0CD5"/>
    <w:rsid w:val="006D0F62"/>
    <w:rsid w:val="006D1018"/>
    <w:rsid w:val="006D1226"/>
    <w:rsid w:val="006D12F1"/>
    <w:rsid w:val="006D13A2"/>
    <w:rsid w:val="006D1625"/>
    <w:rsid w:val="006D172D"/>
    <w:rsid w:val="006D1776"/>
    <w:rsid w:val="006D17A6"/>
    <w:rsid w:val="006D17C8"/>
    <w:rsid w:val="006D17E8"/>
    <w:rsid w:val="006D189E"/>
    <w:rsid w:val="006D18ED"/>
    <w:rsid w:val="006D1AD1"/>
    <w:rsid w:val="006D1BC0"/>
    <w:rsid w:val="006D1CCA"/>
    <w:rsid w:val="006D1F45"/>
    <w:rsid w:val="006D2090"/>
    <w:rsid w:val="006D22AA"/>
    <w:rsid w:val="006D23D6"/>
    <w:rsid w:val="006D23E9"/>
    <w:rsid w:val="006D2633"/>
    <w:rsid w:val="006D26EE"/>
    <w:rsid w:val="006D272A"/>
    <w:rsid w:val="006D285C"/>
    <w:rsid w:val="006D2980"/>
    <w:rsid w:val="006D2C9E"/>
    <w:rsid w:val="006D2CC0"/>
    <w:rsid w:val="006D2CE2"/>
    <w:rsid w:val="006D2D50"/>
    <w:rsid w:val="006D2D54"/>
    <w:rsid w:val="006D2DD0"/>
    <w:rsid w:val="006D2E10"/>
    <w:rsid w:val="006D3069"/>
    <w:rsid w:val="006D31F8"/>
    <w:rsid w:val="006D3445"/>
    <w:rsid w:val="006D360B"/>
    <w:rsid w:val="006D37E4"/>
    <w:rsid w:val="006D3AA2"/>
    <w:rsid w:val="006D3ADA"/>
    <w:rsid w:val="006D404E"/>
    <w:rsid w:val="006D41EF"/>
    <w:rsid w:val="006D4284"/>
    <w:rsid w:val="006D4370"/>
    <w:rsid w:val="006D43F2"/>
    <w:rsid w:val="006D4598"/>
    <w:rsid w:val="006D4682"/>
    <w:rsid w:val="006D469C"/>
    <w:rsid w:val="006D4708"/>
    <w:rsid w:val="006D4BB8"/>
    <w:rsid w:val="006D4BC6"/>
    <w:rsid w:val="006D4FA7"/>
    <w:rsid w:val="006D50F7"/>
    <w:rsid w:val="006D5158"/>
    <w:rsid w:val="006D5435"/>
    <w:rsid w:val="006D57E9"/>
    <w:rsid w:val="006D5818"/>
    <w:rsid w:val="006D5900"/>
    <w:rsid w:val="006D5989"/>
    <w:rsid w:val="006D5A3E"/>
    <w:rsid w:val="006D5BA9"/>
    <w:rsid w:val="006D5CB5"/>
    <w:rsid w:val="006D5CF8"/>
    <w:rsid w:val="006D5D33"/>
    <w:rsid w:val="006D5D83"/>
    <w:rsid w:val="006D5F6C"/>
    <w:rsid w:val="006D6214"/>
    <w:rsid w:val="006D65A9"/>
    <w:rsid w:val="006D67AA"/>
    <w:rsid w:val="006D68C2"/>
    <w:rsid w:val="006D6AF0"/>
    <w:rsid w:val="006D6BED"/>
    <w:rsid w:val="006D6C65"/>
    <w:rsid w:val="006D6D4F"/>
    <w:rsid w:val="006D6D8E"/>
    <w:rsid w:val="006D6E63"/>
    <w:rsid w:val="006D6F18"/>
    <w:rsid w:val="006D6F22"/>
    <w:rsid w:val="006D73B7"/>
    <w:rsid w:val="006D7667"/>
    <w:rsid w:val="006D7C2A"/>
    <w:rsid w:val="006D7CA3"/>
    <w:rsid w:val="006D7E6D"/>
    <w:rsid w:val="006D7EB9"/>
    <w:rsid w:val="006D7F67"/>
    <w:rsid w:val="006D7F72"/>
    <w:rsid w:val="006E019E"/>
    <w:rsid w:val="006E01AB"/>
    <w:rsid w:val="006E027D"/>
    <w:rsid w:val="006E0639"/>
    <w:rsid w:val="006E0843"/>
    <w:rsid w:val="006E08F3"/>
    <w:rsid w:val="006E091F"/>
    <w:rsid w:val="006E0985"/>
    <w:rsid w:val="006E1104"/>
    <w:rsid w:val="006E1298"/>
    <w:rsid w:val="006E13BB"/>
    <w:rsid w:val="006E14E2"/>
    <w:rsid w:val="006E165A"/>
    <w:rsid w:val="006E1B52"/>
    <w:rsid w:val="006E1C90"/>
    <w:rsid w:val="006E1C92"/>
    <w:rsid w:val="006E1CBC"/>
    <w:rsid w:val="006E1CCA"/>
    <w:rsid w:val="006E1FCF"/>
    <w:rsid w:val="006E21AA"/>
    <w:rsid w:val="006E2212"/>
    <w:rsid w:val="006E251F"/>
    <w:rsid w:val="006E25DD"/>
    <w:rsid w:val="006E25F5"/>
    <w:rsid w:val="006E274A"/>
    <w:rsid w:val="006E27B5"/>
    <w:rsid w:val="006E2956"/>
    <w:rsid w:val="006E2A2D"/>
    <w:rsid w:val="006E2A3E"/>
    <w:rsid w:val="006E2A59"/>
    <w:rsid w:val="006E2AC3"/>
    <w:rsid w:val="006E2AFF"/>
    <w:rsid w:val="006E2B23"/>
    <w:rsid w:val="006E2C63"/>
    <w:rsid w:val="006E2EBB"/>
    <w:rsid w:val="006E30EA"/>
    <w:rsid w:val="006E31D7"/>
    <w:rsid w:val="006E32FB"/>
    <w:rsid w:val="006E362F"/>
    <w:rsid w:val="006E36E9"/>
    <w:rsid w:val="006E37F1"/>
    <w:rsid w:val="006E3834"/>
    <w:rsid w:val="006E3855"/>
    <w:rsid w:val="006E3B48"/>
    <w:rsid w:val="006E3B74"/>
    <w:rsid w:val="006E3D74"/>
    <w:rsid w:val="006E3E96"/>
    <w:rsid w:val="006E4228"/>
    <w:rsid w:val="006E4441"/>
    <w:rsid w:val="006E4816"/>
    <w:rsid w:val="006E486E"/>
    <w:rsid w:val="006E4946"/>
    <w:rsid w:val="006E4B39"/>
    <w:rsid w:val="006E4BFC"/>
    <w:rsid w:val="006E4DA8"/>
    <w:rsid w:val="006E4FE2"/>
    <w:rsid w:val="006E5079"/>
    <w:rsid w:val="006E50BE"/>
    <w:rsid w:val="006E5221"/>
    <w:rsid w:val="006E55CF"/>
    <w:rsid w:val="006E566D"/>
    <w:rsid w:val="006E5732"/>
    <w:rsid w:val="006E5A30"/>
    <w:rsid w:val="006E5B34"/>
    <w:rsid w:val="006E5C08"/>
    <w:rsid w:val="006E5CDF"/>
    <w:rsid w:val="006E5D1B"/>
    <w:rsid w:val="006E5DA6"/>
    <w:rsid w:val="006E5F04"/>
    <w:rsid w:val="006E5F9A"/>
    <w:rsid w:val="006E616A"/>
    <w:rsid w:val="006E61D5"/>
    <w:rsid w:val="006E6335"/>
    <w:rsid w:val="006E638E"/>
    <w:rsid w:val="006E63B7"/>
    <w:rsid w:val="006E63D9"/>
    <w:rsid w:val="006E6424"/>
    <w:rsid w:val="006E643E"/>
    <w:rsid w:val="006E6456"/>
    <w:rsid w:val="006E64A0"/>
    <w:rsid w:val="006E653B"/>
    <w:rsid w:val="006E6593"/>
    <w:rsid w:val="006E6957"/>
    <w:rsid w:val="006E69EA"/>
    <w:rsid w:val="006E6A9E"/>
    <w:rsid w:val="006E6AC3"/>
    <w:rsid w:val="006E6E59"/>
    <w:rsid w:val="006E6EE8"/>
    <w:rsid w:val="006E6FAF"/>
    <w:rsid w:val="006E7107"/>
    <w:rsid w:val="006E71FF"/>
    <w:rsid w:val="006E729C"/>
    <w:rsid w:val="006E75CA"/>
    <w:rsid w:val="006E76C3"/>
    <w:rsid w:val="006E7A2B"/>
    <w:rsid w:val="006E7CD5"/>
    <w:rsid w:val="006E7D4F"/>
    <w:rsid w:val="006F001C"/>
    <w:rsid w:val="006F00E6"/>
    <w:rsid w:val="006F0641"/>
    <w:rsid w:val="006F06FC"/>
    <w:rsid w:val="006F0965"/>
    <w:rsid w:val="006F0A93"/>
    <w:rsid w:val="006F0AF2"/>
    <w:rsid w:val="006F0BED"/>
    <w:rsid w:val="006F0BF0"/>
    <w:rsid w:val="006F0C04"/>
    <w:rsid w:val="006F0CBA"/>
    <w:rsid w:val="006F0E13"/>
    <w:rsid w:val="006F10B9"/>
    <w:rsid w:val="006F1319"/>
    <w:rsid w:val="006F1369"/>
    <w:rsid w:val="006F13B2"/>
    <w:rsid w:val="006F14EE"/>
    <w:rsid w:val="006F182D"/>
    <w:rsid w:val="006F183E"/>
    <w:rsid w:val="006F18E3"/>
    <w:rsid w:val="006F19F9"/>
    <w:rsid w:val="006F1C55"/>
    <w:rsid w:val="006F1D60"/>
    <w:rsid w:val="006F1E80"/>
    <w:rsid w:val="006F218D"/>
    <w:rsid w:val="006F2228"/>
    <w:rsid w:val="006F228F"/>
    <w:rsid w:val="006F22BD"/>
    <w:rsid w:val="006F2433"/>
    <w:rsid w:val="006F245F"/>
    <w:rsid w:val="006F2467"/>
    <w:rsid w:val="006F25F0"/>
    <w:rsid w:val="006F28AB"/>
    <w:rsid w:val="006F2A29"/>
    <w:rsid w:val="006F2B11"/>
    <w:rsid w:val="006F2BDE"/>
    <w:rsid w:val="006F2BF4"/>
    <w:rsid w:val="006F2C3D"/>
    <w:rsid w:val="006F2C60"/>
    <w:rsid w:val="006F303A"/>
    <w:rsid w:val="006F30A3"/>
    <w:rsid w:val="006F335B"/>
    <w:rsid w:val="006F346E"/>
    <w:rsid w:val="006F36BF"/>
    <w:rsid w:val="006F374F"/>
    <w:rsid w:val="006F376D"/>
    <w:rsid w:val="006F3A12"/>
    <w:rsid w:val="006F3D0B"/>
    <w:rsid w:val="006F3D8B"/>
    <w:rsid w:val="006F3F66"/>
    <w:rsid w:val="006F3F84"/>
    <w:rsid w:val="006F40C5"/>
    <w:rsid w:val="006F442B"/>
    <w:rsid w:val="006F44DF"/>
    <w:rsid w:val="006F4601"/>
    <w:rsid w:val="006F467F"/>
    <w:rsid w:val="006F4682"/>
    <w:rsid w:val="006F4740"/>
    <w:rsid w:val="006F47F8"/>
    <w:rsid w:val="006F482D"/>
    <w:rsid w:val="006F4841"/>
    <w:rsid w:val="006F48C5"/>
    <w:rsid w:val="006F4B3C"/>
    <w:rsid w:val="006F4D04"/>
    <w:rsid w:val="006F511D"/>
    <w:rsid w:val="006F5258"/>
    <w:rsid w:val="006F555B"/>
    <w:rsid w:val="006F560B"/>
    <w:rsid w:val="006F596A"/>
    <w:rsid w:val="006F5C41"/>
    <w:rsid w:val="006F5D08"/>
    <w:rsid w:val="006F5D75"/>
    <w:rsid w:val="006F5F28"/>
    <w:rsid w:val="006F60CD"/>
    <w:rsid w:val="006F6116"/>
    <w:rsid w:val="006F616F"/>
    <w:rsid w:val="006F61BE"/>
    <w:rsid w:val="006F62B3"/>
    <w:rsid w:val="006F649B"/>
    <w:rsid w:val="006F6826"/>
    <w:rsid w:val="006F6912"/>
    <w:rsid w:val="006F6939"/>
    <w:rsid w:val="006F6AAD"/>
    <w:rsid w:val="006F6C83"/>
    <w:rsid w:val="006F6CE3"/>
    <w:rsid w:val="006F6DCC"/>
    <w:rsid w:val="006F6EED"/>
    <w:rsid w:val="006F6FE7"/>
    <w:rsid w:val="006F700E"/>
    <w:rsid w:val="006F7076"/>
    <w:rsid w:val="006F75F8"/>
    <w:rsid w:val="006F762D"/>
    <w:rsid w:val="006F7720"/>
    <w:rsid w:val="006F77A0"/>
    <w:rsid w:val="006F77BA"/>
    <w:rsid w:val="006F78E3"/>
    <w:rsid w:val="006F7B4F"/>
    <w:rsid w:val="006F7B92"/>
    <w:rsid w:val="006F7CB1"/>
    <w:rsid w:val="006F7CD3"/>
    <w:rsid w:val="006F7F27"/>
    <w:rsid w:val="006F7F57"/>
    <w:rsid w:val="00700131"/>
    <w:rsid w:val="0070014C"/>
    <w:rsid w:val="0070021C"/>
    <w:rsid w:val="007003D2"/>
    <w:rsid w:val="00700504"/>
    <w:rsid w:val="00700739"/>
    <w:rsid w:val="00700768"/>
    <w:rsid w:val="00700776"/>
    <w:rsid w:val="007007D5"/>
    <w:rsid w:val="007007E1"/>
    <w:rsid w:val="00700915"/>
    <w:rsid w:val="00700DA8"/>
    <w:rsid w:val="00700E1E"/>
    <w:rsid w:val="00700F2B"/>
    <w:rsid w:val="00701012"/>
    <w:rsid w:val="0070127A"/>
    <w:rsid w:val="0070132E"/>
    <w:rsid w:val="00701593"/>
    <w:rsid w:val="00701628"/>
    <w:rsid w:val="0070168C"/>
    <w:rsid w:val="007017BD"/>
    <w:rsid w:val="007017F8"/>
    <w:rsid w:val="007018A5"/>
    <w:rsid w:val="00701942"/>
    <w:rsid w:val="0070195D"/>
    <w:rsid w:val="007019E2"/>
    <w:rsid w:val="007019F9"/>
    <w:rsid w:val="00701B1E"/>
    <w:rsid w:val="00701D8D"/>
    <w:rsid w:val="00701DDA"/>
    <w:rsid w:val="00701E87"/>
    <w:rsid w:val="00701EC8"/>
    <w:rsid w:val="00701FDC"/>
    <w:rsid w:val="007023F7"/>
    <w:rsid w:val="00702469"/>
    <w:rsid w:val="00702585"/>
    <w:rsid w:val="007025C5"/>
    <w:rsid w:val="0070262B"/>
    <w:rsid w:val="007026CC"/>
    <w:rsid w:val="007027B4"/>
    <w:rsid w:val="007027FD"/>
    <w:rsid w:val="00702CFB"/>
    <w:rsid w:val="00702DFE"/>
    <w:rsid w:val="00702F7E"/>
    <w:rsid w:val="0070318F"/>
    <w:rsid w:val="007037CF"/>
    <w:rsid w:val="007037E6"/>
    <w:rsid w:val="00703895"/>
    <w:rsid w:val="007038B1"/>
    <w:rsid w:val="00703B9E"/>
    <w:rsid w:val="00703C62"/>
    <w:rsid w:val="00703EAF"/>
    <w:rsid w:val="007040C3"/>
    <w:rsid w:val="007040D2"/>
    <w:rsid w:val="007041E4"/>
    <w:rsid w:val="00704224"/>
    <w:rsid w:val="00704501"/>
    <w:rsid w:val="0070458B"/>
    <w:rsid w:val="007045CB"/>
    <w:rsid w:val="007047BE"/>
    <w:rsid w:val="00704893"/>
    <w:rsid w:val="00704B5B"/>
    <w:rsid w:val="00704C10"/>
    <w:rsid w:val="00704EB4"/>
    <w:rsid w:val="00704F92"/>
    <w:rsid w:val="00704FF6"/>
    <w:rsid w:val="00705021"/>
    <w:rsid w:val="00705290"/>
    <w:rsid w:val="0070535E"/>
    <w:rsid w:val="00705372"/>
    <w:rsid w:val="00705460"/>
    <w:rsid w:val="00705602"/>
    <w:rsid w:val="00705701"/>
    <w:rsid w:val="00705BE8"/>
    <w:rsid w:val="00705C42"/>
    <w:rsid w:val="00705DBD"/>
    <w:rsid w:val="00705DD7"/>
    <w:rsid w:val="00705EDC"/>
    <w:rsid w:val="00705F4A"/>
    <w:rsid w:val="007060BC"/>
    <w:rsid w:val="007062DA"/>
    <w:rsid w:val="00706404"/>
    <w:rsid w:val="007064C7"/>
    <w:rsid w:val="0070655E"/>
    <w:rsid w:val="0070675A"/>
    <w:rsid w:val="00706765"/>
    <w:rsid w:val="00706887"/>
    <w:rsid w:val="00706E42"/>
    <w:rsid w:val="00706F5A"/>
    <w:rsid w:val="00706FBD"/>
    <w:rsid w:val="007070DA"/>
    <w:rsid w:val="007075BC"/>
    <w:rsid w:val="007075F0"/>
    <w:rsid w:val="007076E6"/>
    <w:rsid w:val="007077E8"/>
    <w:rsid w:val="00707C1B"/>
    <w:rsid w:val="00707E91"/>
    <w:rsid w:val="007100BE"/>
    <w:rsid w:val="007100ED"/>
    <w:rsid w:val="00710167"/>
    <w:rsid w:val="00710340"/>
    <w:rsid w:val="00710438"/>
    <w:rsid w:val="0071049D"/>
    <w:rsid w:val="00710574"/>
    <w:rsid w:val="0071084E"/>
    <w:rsid w:val="007108A4"/>
    <w:rsid w:val="00710A5E"/>
    <w:rsid w:val="00710B13"/>
    <w:rsid w:val="00710B1C"/>
    <w:rsid w:val="00710D72"/>
    <w:rsid w:val="00710E91"/>
    <w:rsid w:val="00710F46"/>
    <w:rsid w:val="00710FA8"/>
    <w:rsid w:val="00710FB4"/>
    <w:rsid w:val="007112AE"/>
    <w:rsid w:val="00711392"/>
    <w:rsid w:val="00711723"/>
    <w:rsid w:val="00711794"/>
    <w:rsid w:val="00711823"/>
    <w:rsid w:val="00711A7B"/>
    <w:rsid w:val="00711BB7"/>
    <w:rsid w:val="00711BD2"/>
    <w:rsid w:val="00711BE2"/>
    <w:rsid w:val="00711C0C"/>
    <w:rsid w:val="00711D80"/>
    <w:rsid w:val="00711E09"/>
    <w:rsid w:val="00711E86"/>
    <w:rsid w:val="00711F60"/>
    <w:rsid w:val="00711F81"/>
    <w:rsid w:val="007122B7"/>
    <w:rsid w:val="0071247D"/>
    <w:rsid w:val="00712612"/>
    <w:rsid w:val="00712AD5"/>
    <w:rsid w:val="00712D2D"/>
    <w:rsid w:val="007130D5"/>
    <w:rsid w:val="00713365"/>
    <w:rsid w:val="00713534"/>
    <w:rsid w:val="007135B9"/>
    <w:rsid w:val="0071366C"/>
    <w:rsid w:val="007137B5"/>
    <w:rsid w:val="00713866"/>
    <w:rsid w:val="007138C8"/>
    <w:rsid w:val="00713961"/>
    <w:rsid w:val="00713BFD"/>
    <w:rsid w:val="00713CF3"/>
    <w:rsid w:val="00713FA4"/>
    <w:rsid w:val="00714221"/>
    <w:rsid w:val="0071426F"/>
    <w:rsid w:val="00714461"/>
    <w:rsid w:val="007145D5"/>
    <w:rsid w:val="0071464B"/>
    <w:rsid w:val="0071470C"/>
    <w:rsid w:val="00714817"/>
    <w:rsid w:val="00714892"/>
    <w:rsid w:val="00714A89"/>
    <w:rsid w:val="00714C15"/>
    <w:rsid w:val="00714DDB"/>
    <w:rsid w:val="00714E8F"/>
    <w:rsid w:val="00714F5F"/>
    <w:rsid w:val="007150AC"/>
    <w:rsid w:val="007151D8"/>
    <w:rsid w:val="00715309"/>
    <w:rsid w:val="00715353"/>
    <w:rsid w:val="00715537"/>
    <w:rsid w:val="0071590F"/>
    <w:rsid w:val="00715A66"/>
    <w:rsid w:val="00715D79"/>
    <w:rsid w:val="00715DA7"/>
    <w:rsid w:val="00715DE8"/>
    <w:rsid w:val="00715E02"/>
    <w:rsid w:val="00715EC1"/>
    <w:rsid w:val="00715F21"/>
    <w:rsid w:val="00715F42"/>
    <w:rsid w:val="00715FA0"/>
    <w:rsid w:val="00716271"/>
    <w:rsid w:val="00716936"/>
    <w:rsid w:val="0071695A"/>
    <w:rsid w:val="007169B8"/>
    <w:rsid w:val="007169D5"/>
    <w:rsid w:val="00716B38"/>
    <w:rsid w:val="00716B70"/>
    <w:rsid w:val="00716CAD"/>
    <w:rsid w:val="0071702B"/>
    <w:rsid w:val="007171EC"/>
    <w:rsid w:val="00717216"/>
    <w:rsid w:val="00717399"/>
    <w:rsid w:val="007173CB"/>
    <w:rsid w:val="007174F8"/>
    <w:rsid w:val="007177CD"/>
    <w:rsid w:val="00717903"/>
    <w:rsid w:val="007179C6"/>
    <w:rsid w:val="00717A96"/>
    <w:rsid w:val="00717B27"/>
    <w:rsid w:val="00717CD6"/>
    <w:rsid w:val="00717E46"/>
    <w:rsid w:val="00717E9A"/>
    <w:rsid w:val="00717ED4"/>
    <w:rsid w:val="00717F2B"/>
    <w:rsid w:val="00717F3B"/>
    <w:rsid w:val="00717FCA"/>
    <w:rsid w:val="00720023"/>
    <w:rsid w:val="00720061"/>
    <w:rsid w:val="00720108"/>
    <w:rsid w:val="007201F8"/>
    <w:rsid w:val="00720243"/>
    <w:rsid w:val="0072025A"/>
    <w:rsid w:val="00720378"/>
    <w:rsid w:val="007204FF"/>
    <w:rsid w:val="0072059E"/>
    <w:rsid w:val="0072063B"/>
    <w:rsid w:val="0072074A"/>
    <w:rsid w:val="0072074F"/>
    <w:rsid w:val="007208B2"/>
    <w:rsid w:val="00720A58"/>
    <w:rsid w:val="00720B1F"/>
    <w:rsid w:val="00720BF8"/>
    <w:rsid w:val="00720FB8"/>
    <w:rsid w:val="0072121E"/>
    <w:rsid w:val="007212B7"/>
    <w:rsid w:val="007212E3"/>
    <w:rsid w:val="007213CA"/>
    <w:rsid w:val="007214C1"/>
    <w:rsid w:val="0072167A"/>
    <w:rsid w:val="00721689"/>
    <w:rsid w:val="00721732"/>
    <w:rsid w:val="007218DD"/>
    <w:rsid w:val="007218E4"/>
    <w:rsid w:val="007219F5"/>
    <w:rsid w:val="00721A78"/>
    <w:rsid w:val="00721BA9"/>
    <w:rsid w:val="00721BAB"/>
    <w:rsid w:val="00721C7F"/>
    <w:rsid w:val="00721D2A"/>
    <w:rsid w:val="00721DFA"/>
    <w:rsid w:val="00721E34"/>
    <w:rsid w:val="00721E54"/>
    <w:rsid w:val="00721F75"/>
    <w:rsid w:val="00721F8D"/>
    <w:rsid w:val="0072207A"/>
    <w:rsid w:val="007220B5"/>
    <w:rsid w:val="007221E4"/>
    <w:rsid w:val="007221EB"/>
    <w:rsid w:val="00722530"/>
    <w:rsid w:val="00722543"/>
    <w:rsid w:val="00722663"/>
    <w:rsid w:val="007227FB"/>
    <w:rsid w:val="007229BC"/>
    <w:rsid w:val="007229EC"/>
    <w:rsid w:val="00722AB4"/>
    <w:rsid w:val="00722B0F"/>
    <w:rsid w:val="00722BA2"/>
    <w:rsid w:val="00722BD9"/>
    <w:rsid w:val="00722C7C"/>
    <w:rsid w:val="00722FEC"/>
    <w:rsid w:val="007234F8"/>
    <w:rsid w:val="007235EF"/>
    <w:rsid w:val="00723912"/>
    <w:rsid w:val="00723A15"/>
    <w:rsid w:val="00723A77"/>
    <w:rsid w:val="00723A79"/>
    <w:rsid w:val="00723DDF"/>
    <w:rsid w:val="00723E8C"/>
    <w:rsid w:val="00723ED3"/>
    <w:rsid w:val="00723EDE"/>
    <w:rsid w:val="00724395"/>
    <w:rsid w:val="007243AC"/>
    <w:rsid w:val="00724546"/>
    <w:rsid w:val="00724726"/>
    <w:rsid w:val="00724A2D"/>
    <w:rsid w:val="00724B73"/>
    <w:rsid w:val="00724BA8"/>
    <w:rsid w:val="00724C11"/>
    <w:rsid w:val="00724CA8"/>
    <w:rsid w:val="0072527E"/>
    <w:rsid w:val="00725651"/>
    <w:rsid w:val="00725723"/>
    <w:rsid w:val="0072575E"/>
    <w:rsid w:val="007257E9"/>
    <w:rsid w:val="00725A63"/>
    <w:rsid w:val="00725AEF"/>
    <w:rsid w:val="00725B0B"/>
    <w:rsid w:val="00725E67"/>
    <w:rsid w:val="007260DF"/>
    <w:rsid w:val="00726136"/>
    <w:rsid w:val="0072635B"/>
    <w:rsid w:val="007265C4"/>
    <w:rsid w:val="00726650"/>
    <w:rsid w:val="007266C3"/>
    <w:rsid w:val="00726B9D"/>
    <w:rsid w:val="00726CAE"/>
    <w:rsid w:val="00726E1C"/>
    <w:rsid w:val="00726F68"/>
    <w:rsid w:val="00727157"/>
    <w:rsid w:val="007271E7"/>
    <w:rsid w:val="00727292"/>
    <w:rsid w:val="0072729E"/>
    <w:rsid w:val="00727412"/>
    <w:rsid w:val="00727777"/>
    <w:rsid w:val="00727818"/>
    <w:rsid w:val="007278AC"/>
    <w:rsid w:val="007278DE"/>
    <w:rsid w:val="00727967"/>
    <w:rsid w:val="007279D2"/>
    <w:rsid w:val="00727B0D"/>
    <w:rsid w:val="00727BED"/>
    <w:rsid w:val="00727C49"/>
    <w:rsid w:val="00727F6F"/>
    <w:rsid w:val="0073015C"/>
    <w:rsid w:val="007303AB"/>
    <w:rsid w:val="0073045D"/>
    <w:rsid w:val="007305C2"/>
    <w:rsid w:val="00730790"/>
    <w:rsid w:val="007308DF"/>
    <w:rsid w:val="00730A14"/>
    <w:rsid w:val="00730A9D"/>
    <w:rsid w:val="00730F8B"/>
    <w:rsid w:val="0073123B"/>
    <w:rsid w:val="007315E1"/>
    <w:rsid w:val="0073164B"/>
    <w:rsid w:val="0073169A"/>
    <w:rsid w:val="007317E4"/>
    <w:rsid w:val="00731A7F"/>
    <w:rsid w:val="00731A9F"/>
    <w:rsid w:val="00731E6E"/>
    <w:rsid w:val="00731EAC"/>
    <w:rsid w:val="00731EC2"/>
    <w:rsid w:val="00731F9F"/>
    <w:rsid w:val="00732103"/>
    <w:rsid w:val="0073220C"/>
    <w:rsid w:val="0073241D"/>
    <w:rsid w:val="00732526"/>
    <w:rsid w:val="0073274E"/>
    <w:rsid w:val="00732972"/>
    <w:rsid w:val="00732FB1"/>
    <w:rsid w:val="00733430"/>
    <w:rsid w:val="0073347B"/>
    <w:rsid w:val="007335CD"/>
    <w:rsid w:val="00733600"/>
    <w:rsid w:val="007336E7"/>
    <w:rsid w:val="00733760"/>
    <w:rsid w:val="007338CF"/>
    <w:rsid w:val="007338D7"/>
    <w:rsid w:val="00733DFF"/>
    <w:rsid w:val="00733EE3"/>
    <w:rsid w:val="00734212"/>
    <w:rsid w:val="00734389"/>
    <w:rsid w:val="007345CB"/>
    <w:rsid w:val="0073462E"/>
    <w:rsid w:val="00734714"/>
    <w:rsid w:val="00734768"/>
    <w:rsid w:val="00734876"/>
    <w:rsid w:val="00734991"/>
    <w:rsid w:val="00734B40"/>
    <w:rsid w:val="00734BCF"/>
    <w:rsid w:val="00734C2A"/>
    <w:rsid w:val="00734DA6"/>
    <w:rsid w:val="00734EF7"/>
    <w:rsid w:val="007351F2"/>
    <w:rsid w:val="0073523D"/>
    <w:rsid w:val="00735362"/>
    <w:rsid w:val="00735517"/>
    <w:rsid w:val="0073588D"/>
    <w:rsid w:val="00735DA0"/>
    <w:rsid w:val="00735DAE"/>
    <w:rsid w:val="00735F6A"/>
    <w:rsid w:val="0073609D"/>
    <w:rsid w:val="007361BC"/>
    <w:rsid w:val="0073620E"/>
    <w:rsid w:val="00736232"/>
    <w:rsid w:val="00736348"/>
    <w:rsid w:val="007363AB"/>
    <w:rsid w:val="007364C6"/>
    <w:rsid w:val="0073664B"/>
    <w:rsid w:val="00736E9B"/>
    <w:rsid w:val="00736FD1"/>
    <w:rsid w:val="0073706D"/>
    <w:rsid w:val="00737110"/>
    <w:rsid w:val="007371D2"/>
    <w:rsid w:val="00737314"/>
    <w:rsid w:val="0073733B"/>
    <w:rsid w:val="0073786F"/>
    <w:rsid w:val="007378AB"/>
    <w:rsid w:val="00737A9A"/>
    <w:rsid w:val="00737B10"/>
    <w:rsid w:val="00737C8A"/>
    <w:rsid w:val="00737CCF"/>
    <w:rsid w:val="00740114"/>
    <w:rsid w:val="007402D1"/>
    <w:rsid w:val="00740380"/>
    <w:rsid w:val="00740387"/>
    <w:rsid w:val="00740603"/>
    <w:rsid w:val="00740750"/>
    <w:rsid w:val="00740978"/>
    <w:rsid w:val="007409CE"/>
    <w:rsid w:val="00740A65"/>
    <w:rsid w:val="00740B33"/>
    <w:rsid w:val="00740C0C"/>
    <w:rsid w:val="00740D90"/>
    <w:rsid w:val="00740E18"/>
    <w:rsid w:val="00741099"/>
    <w:rsid w:val="0074109E"/>
    <w:rsid w:val="007414D4"/>
    <w:rsid w:val="00741504"/>
    <w:rsid w:val="007415A9"/>
    <w:rsid w:val="00741991"/>
    <w:rsid w:val="00741A05"/>
    <w:rsid w:val="00741A41"/>
    <w:rsid w:val="00741CD0"/>
    <w:rsid w:val="00741E40"/>
    <w:rsid w:val="00742389"/>
    <w:rsid w:val="007426AD"/>
    <w:rsid w:val="00742A2B"/>
    <w:rsid w:val="00742A74"/>
    <w:rsid w:val="007430CB"/>
    <w:rsid w:val="00743372"/>
    <w:rsid w:val="00743412"/>
    <w:rsid w:val="0074344B"/>
    <w:rsid w:val="007434A9"/>
    <w:rsid w:val="0074371F"/>
    <w:rsid w:val="00743774"/>
    <w:rsid w:val="00743912"/>
    <w:rsid w:val="0074395A"/>
    <w:rsid w:val="00743C2B"/>
    <w:rsid w:val="00743C63"/>
    <w:rsid w:val="007440B1"/>
    <w:rsid w:val="00744155"/>
    <w:rsid w:val="007441FD"/>
    <w:rsid w:val="00744428"/>
    <w:rsid w:val="007444B2"/>
    <w:rsid w:val="007444B4"/>
    <w:rsid w:val="00744578"/>
    <w:rsid w:val="00744770"/>
    <w:rsid w:val="00744A55"/>
    <w:rsid w:val="00744A74"/>
    <w:rsid w:val="00744AA9"/>
    <w:rsid w:val="00744B2A"/>
    <w:rsid w:val="00744B76"/>
    <w:rsid w:val="00744D50"/>
    <w:rsid w:val="00745055"/>
    <w:rsid w:val="0074530E"/>
    <w:rsid w:val="0074535F"/>
    <w:rsid w:val="0074568E"/>
    <w:rsid w:val="00745732"/>
    <w:rsid w:val="00745851"/>
    <w:rsid w:val="00745958"/>
    <w:rsid w:val="007459A1"/>
    <w:rsid w:val="00745A6A"/>
    <w:rsid w:val="00745BB2"/>
    <w:rsid w:val="00745D32"/>
    <w:rsid w:val="00745E07"/>
    <w:rsid w:val="00746057"/>
    <w:rsid w:val="007460FA"/>
    <w:rsid w:val="00746263"/>
    <w:rsid w:val="007462B3"/>
    <w:rsid w:val="0074645E"/>
    <w:rsid w:val="007464D9"/>
    <w:rsid w:val="007468E3"/>
    <w:rsid w:val="007469F6"/>
    <w:rsid w:val="00746C53"/>
    <w:rsid w:val="00746CE4"/>
    <w:rsid w:val="00746EA3"/>
    <w:rsid w:val="00746EF0"/>
    <w:rsid w:val="00746FDC"/>
    <w:rsid w:val="00747062"/>
    <w:rsid w:val="007470BE"/>
    <w:rsid w:val="0074713D"/>
    <w:rsid w:val="00747169"/>
    <w:rsid w:val="007471D0"/>
    <w:rsid w:val="00747394"/>
    <w:rsid w:val="007475C8"/>
    <w:rsid w:val="00747810"/>
    <w:rsid w:val="007479B1"/>
    <w:rsid w:val="00747D3D"/>
    <w:rsid w:val="00750286"/>
    <w:rsid w:val="00750345"/>
    <w:rsid w:val="007503E6"/>
    <w:rsid w:val="0075049A"/>
    <w:rsid w:val="00750519"/>
    <w:rsid w:val="00750AB0"/>
    <w:rsid w:val="00750AF9"/>
    <w:rsid w:val="00750FA7"/>
    <w:rsid w:val="007510E0"/>
    <w:rsid w:val="0075114B"/>
    <w:rsid w:val="007512CF"/>
    <w:rsid w:val="0075139C"/>
    <w:rsid w:val="0075139E"/>
    <w:rsid w:val="00751415"/>
    <w:rsid w:val="00751A56"/>
    <w:rsid w:val="00751D25"/>
    <w:rsid w:val="00751DE6"/>
    <w:rsid w:val="0075221B"/>
    <w:rsid w:val="00752266"/>
    <w:rsid w:val="00752319"/>
    <w:rsid w:val="007525F6"/>
    <w:rsid w:val="00752778"/>
    <w:rsid w:val="0075281E"/>
    <w:rsid w:val="00752E82"/>
    <w:rsid w:val="00753119"/>
    <w:rsid w:val="007531EF"/>
    <w:rsid w:val="007532A4"/>
    <w:rsid w:val="007535F9"/>
    <w:rsid w:val="00753ADE"/>
    <w:rsid w:val="00753BF2"/>
    <w:rsid w:val="00753D59"/>
    <w:rsid w:val="00753DA5"/>
    <w:rsid w:val="00753DD9"/>
    <w:rsid w:val="00754012"/>
    <w:rsid w:val="00754089"/>
    <w:rsid w:val="00754219"/>
    <w:rsid w:val="0075427B"/>
    <w:rsid w:val="0075461B"/>
    <w:rsid w:val="007548EF"/>
    <w:rsid w:val="00754C97"/>
    <w:rsid w:val="00754DF3"/>
    <w:rsid w:val="0075521F"/>
    <w:rsid w:val="0075538B"/>
    <w:rsid w:val="0075551A"/>
    <w:rsid w:val="0075556D"/>
    <w:rsid w:val="007555A8"/>
    <w:rsid w:val="00755B91"/>
    <w:rsid w:val="00755C5D"/>
    <w:rsid w:val="00755D63"/>
    <w:rsid w:val="00756166"/>
    <w:rsid w:val="00756277"/>
    <w:rsid w:val="0075635E"/>
    <w:rsid w:val="007563EE"/>
    <w:rsid w:val="007564CC"/>
    <w:rsid w:val="00756553"/>
    <w:rsid w:val="00756730"/>
    <w:rsid w:val="00756A74"/>
    <w:rsid w:val="00756D6A"/>
    <w:rsid w:val="00756E6E"/>
    <w:rsid w:val="00756FB3"/>
    <w:rsid w:val="007570E7"/>
    <w:rsid w:val="007571A6"/>
    <w:rsid w:val="0075734E"/>
    <w:rsid w:val="00757403"/>
    <w:rsid w:val="007576D3"/>
    <w:rsid w:val="00757845"/>
    <w:rsid w:val="00757962"/>
    <w:rsid w:val="00757EB1"/>
    <w:rsid w:val="00757FE7"/>
    <w:rsid w:val="0076018A"/>
    <w:rsid w:val="00760322"/>
    <w:rsid w:val="00760520"/>
    <w:rsid w:val="0076069E"/>
    <w:rsid w:val="0076078F"/>
    <w:rsid w:val="00760B15"/>
    <w:rsid w:val="00760BC6"/>
    <w:rsid w:val="00760DA8"/>
    <w:rsid w:val="00761028"/>
    <w:rsid w:val="00761108"/>
    <w:rsid w:val="0076127B"/>
    <w:rsid w:val="00761436"/>
    <w:rsid w:val="00761536"/>
    <w:rsid w:val="00761562"/>
    <w:rsid w:val="00761799"/>
    <w:rsid w:val="007617BF"/>
    <w:rsid w:val="0076182A"/>
    <w:rsid w:val="0076186A"/>
    <w:rsid w:val="00761885"/>
    <w:rsid w:val="00761BD1"/>
    <w:rsid w:val="00761EA7"/>
    <w:rsid w:val="00761ED4"/>
    <w:rsid w:val="00761EE9"/>
    <w:rsid w:val="00761EF5"/>
    <w:rsid w:val="0076208C"/>
    <w:rsid w:val="00762407"/>
    <w:rsid w:val="007624D2"/>
    <w:rsid w:val="00762516"/>
    <w:rsid w:val="0076252E"/>
    <w:rsid w:val="00762570"/>
    <w:rsid w:val="0076260F"/>
    <w:rsid w:val="0076269D"/>
    <w:rsid w:val="00762818"/>
    <w:rsid w:val="00762E34"/>
    <w:rsid w:val="0076319C"/>
    <w:rsid w:val="007631E7"/>
    <w:rsid w:val="00763254"/>
    <w:rsid w:val="0076329C"/>
    <w:rsid w:val="007634C4"/>
    <w:rsid w:val="007636CB"/>
    <w:rsid w:val="0076376C"/>
    <w:rsid w:val="007637A8"/>
    <w:rsid w:val="00763900"/>
    <w:rsid w:val="0076395F"/>
    <w:rsid w:val="00763BA7"/>
    <w:rsid w:val="00763C0A"/>
    <w:rsid w:val="00763C34"/>
    <w:rsid w:val="00763D10"/>
    <w:rsid w:val="00763E57"/>
    <w:rsid w:val="00763EA2"/>
    <w:rsid w:val="0076406F"/>
    <w:rsid w:val="007640BD"/>
    <w:rsid w:val="007640E5"/>
    <w:rsid w:val="007641FA"/>
    <w:rsid w:val="007643E1"/>
    <w:rsid w:val="0076444F"/>
    <w:rsid w:val="00764653"/>
    <w:rsid w:val="00764738"/>
    <w:rsid w:val="007647F8"/>
    <w:rsid w:val="0076480A"/>
    <w:rsid w:val="00764B29"/>
    <w:rsid w:val="00764B4C"/>
    <w:rsid w:val="00764C1D"/>
    <w:rsid w:val="00764D10"/>
    <w:rsid w:val="007650F4"/>
    <w:rsid w:val="0076564D"/>
    <w:rsid w:val="0076577C"/>
    <w:rsid w:val="00765841"/>
    <w:rsid w:val="0076587C"/>
    <w:rsid w:val="007658EF"/>
    <w:rsid w:val="00765919"/>
    <w:rsid w:val="00765AA0"/>
    <w:rsid w:val="00765C66"/>
    <w:rsid w:val="00765EB6"/>
    <w:rsid w:val="00765F72"/>
    <w:rsid w:val="00765FA2"/>
    <w:rsid w:val="007662EE"/>
    <w:rsid w:val="0076632B"/>
    <w:rsid w:val="00766340"/>
    <w:rsid w:val="0076640F"/>
    <w:rsid w:val="00766455"/>
    <w:rsid w:val="007664E2"/>
    <w:rsid w:val="007667D8"/>
    <w:rsid w:val="0076687C"/>
    <w:rsid w:val="007668B4"/>
    <w:rsid w:val="007668E5"/>
    <w:rsid w:val="00766B81"/>
    <w:rsid w:val="00766BCB"/>
    <w:rsid w:val="00766BF4"/>
    <w:rsid w:val="00767030"/>
    <w:rsid w:val="00767039"/>
    <w:rsid w:val="007670BA"/>
    <w:rsid w:val="00767576"/>
    <w:rsid w:val="007675A9"/>
    <w:rsid w:val="00767882"/>
    <w:rsid w:val="007678BE"/>
    <w:rsid w:val="007679F8"/>
    <w:rsid w:val="00767E4B"/>
    <w:rsid w:val="00770261"/>
    <w:rsid w:val="0077055F"/>
    <w:rsid w:val="00770940"/>
    <w:rsid w:val="00770A03"/>
    <w:rsid w:val="00770C04"/>
    <w:rsid w:val="00770C0A"/>
    <w:rsid w:val="00770C99"/>
    <w:rsid w:val="00770E48"/>
    <w:rsid w:val="00770EAF"/>
    <w:rsid w:val="007711A4"/>
    <w:rsid w:val="007716F6"/>
    <w:rsid w:val="0077186B"/>
    <w:rsid w:val="00771988"/>
    <w:rsid w:val="00771A39"/>
    <w:rsid w:val="00771DF2"/>
    <w:rsid w:val="00771E25"/>
    <w:rsid w:val="007722D0"/>
    <w:rsid w:val="00772456"/>
    <w:rsid w:val="00772480"/>
    <w:rsid w:val="00772792"/>
    <w:rsid w:val="00772838"/>
    <w:rsid w:val="00772931"/>
    <w:rsid w:val="00772C37"/>
    <w:rsid w:val="00772C3F"/>
    <w:rsid w:val="00772E54"/>
    <w:rsid w:val="00772E56"/>
    <w:rsid w:val="00773172"/>
    <w:rsid w:val="0077344B"/>
    <w:rsid w:val="0077370E"/>
    <w:rsid w:val="00773712"/>
    <w:rsid w:val="00773741"/>
    <w:rsid w:val="0077380D"/>
    <w:rsid w:val="007739DB"/>
    <w:rsid w:val="007739FA"/>
    <w:rsid w:val="00773B33"/>
    <w:rsid w:val="00773D72"/>
    <w:rsid w:val="00773E88"/>
    <w:rsid w:val="00773F8A"/>
    <w:rsid w:val="007740FD"/>
    <w:rsid w:val="007741AB"/>
    <w:rsid w:val="0077436B"/>
    <w:rsid w:val="0077443C"/>
    <w:rsid w:val="0077444B"/>
    <w:rsid w:val="00774777"/>
    <w:rsid w:val="007748C4"/>
    <w:rsid w:val="0077490A"/>
    <w:rsid w:val="0077496B"/>
    <w:rsid w:val="007749A7"/>
    <w:rsid w:val="00774BCF"/>
    <w:rsid w:val="00774D92"/>
    <w:rsid w:val="00774FED"/>
    <w:rsid w:val="0077564D"/>
    <w:rsid w:val="00775653"/>
    <w:rsid w:val="00775718"/>
    <w:rsid w:val="0077582A"/>
    <w:rsid w:val="007758FB"/>
    <w:rsid w:val="007759E3"/>
    <w:rsid w:val="007760BC"/>
    <w:rsid w:val="00776124"/>
    <w:rsid w:val="00776302"/>
    <w:rsid w:val="0077646A"/>
    <w:rsid w:val="00776514"/>
    <w:rsid w:val="00776524"/>
    <w:rsid w:val="00776638"/>
    <w:rsid w:val="007768BE"/>
    <w:rsid w:val="00776A3D"/>
    <w:rsid w:val="00776AAB"/>
    <w:rsid w:val="00776B26"/>
    <w:rsid w:val="00776D5B"/>
    <w:rsid w:val="00776E31"/>
    <w:rsid w:val="00776E3E"/>
    <w:rsid w:val="007770F9"/>
    <w:rsid w:val="00777674"/>
    <w:rsid w:val="00777733"/>
    <w:rsid w:val="00777A56"/>
    <w:rsid w:val="00777EFE"/>
    <w:rsid w:val="00777F13"/>
    <w:rsid w:val="007800D4"/>
    <w:rsid w:val="007801A1"/>
    <w:rsid w:val="007801B8"/>
    <w:rsid w:val="00780465"/>
    <w:rsid w:val="007804EE"/>
    <w:rsid w:val="007805A1"/>
    <w:rsid w:val="0078068E"/>
    <w:rsid w:val="007806B0"/>
    <w:rsid w:val="00780717"/>
    <w:rsid w:val="00780831"/>
    <w:rsid w:val="0078083F"/>
    <w:rsid w:val="00780AC4"/>
    <w:rsid w:val="00780EBD"/>
    <w:rsid w:val="00780EC9"/>
    <w:rsid w:val="0078109F"/>
    <w:rsid w:val="00781225"/>
    <w:rsid w:val="00781300"/>
    <w:rsid w:val="007813FE"/>
    <w:rsid w:val="0078141C"/>
    <w:rsid w:val="0078159E"/>
    <w:rsid w:val="007815A8"/>
    <w:rsid w:val="00781623"/>
    <w:rsid w:val="007817F8"/>
    <w:rsid w:val="00781910"/>
    <w:rsid w:val="00781BC4"/>
    <w:rsid w:val="00781C26"/>
    <w:rsid w:val="00781D1E"/>
    <w:rsid w:val="0078203E"/>
    <w:rsid w:val="00782079"/>
    <w:rsid w:val="0078219F"/>
    <w:rsid w:val="007821B0"/>
    <w:rsid w:val="00782299"/>
    <w:rsid w:val="00782588"/>
    <w:rsid w:val="007825F5"/>
    <w:rsid w:val="007826A2"/>
    <w:rsid w:val="007827EB"/>
    <w:rsid w:val="007828B7"/>
    <w:rsid w:val="00782BBA"/>
    <w:rsid w:val="00782C2B"/>
    <w:rsid w:val="00782C75"/>
    <w:rsid w:val="00782C98"/>
    <w:rsid w:val="00782ECC"/>
    <w:rsid w:val="00782F04"/>
    <w:rsid w:val="0078313B"/>
    <w:rsid w:val="00783315"/>
    <w:rsid w:val="007833FC"/>
    <w:rsid w:val="0078351B"/>
    <w:rsid w:val="0078364D"/>
    <w:rsid w:val="0078370B"/>
    <w:rsid w:val="00783838"/>
    <w:rsid w:val="0078391F"/>
    <w:rsid w:val="007839E8"/>
    <w:rsid w:val="00783AB4"/>
    <w:rsid w:val="00783B6C"/>
    <w:rsid w:val="00783C05"/>
    <w:rsid w:val="00783C07"/>
    <w:rsid w:val="00783D19"/>
    <w:rsid w:val="00783D5C"/>
    <w:rsid w:val="007840A9"/>
    <w:rsid w:val="007841C4"/>
    <w:rsid w:val="007842A1"/>
    <w:rsid w:val="00784327"/>
    <w:rsid w:val="007844FF"/>
    <w:rsid w:val="00784631"/>
    <w:rsid w:val="007846EF"/>
    <w:rsid w:val="00784878"/>
    <w:rsid w:val="00784900"/>
    <w:rsid w:val="007849FD"/>
    <w:rsid w:val="00784A4C"/>
    <w:rsid w:val="00784A8B"/>
    <w:rsid w:val="00784AC0"/>
    <w:rsid w:val="00784CA1"/>
    <w:rsid w:val="00784E1D"/>
    <w:rsid w:val="0078513B"/>
    <w:rsid w:val="0078529C"/>
    <w:rsid w:val="007854E3"/>
    <w:rsid w:val="007856E3"/>
    <w:rsid w:val="00785918"/>
    <w:rsid w:val="0078592D"/>
    <w:rsid w:val="00785945"/>
    <w:rsid w:val="0078604C"/>
    <w:rsid w:val="007860AC"/>
    <w:rsid w:val="007865C6"/>
    <w:rsid w:val="00786707"/>
    <w:rsid w:val="00786852"/>
    <w:rsid w:val="00786BD9"/>
    <w:rsid w:val="00786C49"/>
    <w:rsid w:val="00786C7D"/>
    <w:rsid w:val="00786D0E"/>
    <w:rsid w:val="00786E5C"/>
    <w:rsid w:val="00786EF0"/>
    <w:rsid w:val="00786F29"/>
    <w:rsid w:val="00786F94"/>
    <w:rsid w:val="0078724E"/>
    <w:rsid w:val="00787302"/>
    <w:rsid w:val="00787354"/>
    <w:rsid w:val="007873D1"/>
    <w:rsid w:val="0078751E"/>
    <w:rsid w:val="00787779"/>
    <w:rsid w:val="00787781"/>
    <w:rsid w:val="00787960"/>
    <w:rsid w:val="007879EE"/>
    <w:rsid w:val="00787C9A"/>
    <w:rsid w:val="00787CF7"/>
    <w:rsid w:val="00787DF8"/>
    <w:rsid w:val="00787F11"/>
    <w:rsid w:val="00787F22"/>
    <w:rsid w:val="0078E4BF"/>
    <w:rsid w:val="00790273"/>
    <w:rsid w:val="007903DB"/>
    <w:rsid w:val="007903E9"/>
    <w:rsid w:val="007909AB"/>
    <w:rsid w:val="00790AAE"/>
    <w:rsid w:val="00790B03"/>
    <w:rsid w:val="00790C38"/>
    <w:rsid w:val="00790C7A"/>
    <w:rsid w:val="00790C87"/>
    <w:rsid w:val="00790F10"/>
    <w:rsid w:val="00790FB7"/>
    <w:rsid w:val="00791050"/>
    <w:rsid w:val="00791089"/>
    <w:rsid w:val="00791606"/>
    <w:rsid w:val="0079191E"/>
    <w:rsid w:val="007919DA"/>
    <w:rsid w:val="00791A60"/>
    <w:rsid w:val="00791C7E"/>
    <w:rsid w:val="00791C89"/>
    <w:rsid w:val="007921FB"/>
    <w:rsid w:val="00792233"/>
    <w:rsid w:val="00792272"/>
    <w:rsid w:val="0079266D"/>
    <w:rsid w:val="007927F9"/>
    <w:rsid w:val="007928E8"/>
    <w:rsid w:val="007929F4"/>
    <w:rsid w:val="007929F8"/>
    <w:rsid w:val="00792B75"/>
    <w:rsid w:val="00792DBC"/>
    <w:rsid w:val="00792E3F"/>
    <w:rsid w:val="00792E47"/>
    <w:rsid w:val="00792E75"/>
    <w:rsid w:val="00792ED7"/>
    <w:rsid w:val="00792FAE"/>
    <w:rsid w:val="007931F0"/>
    <w:rsid w:val="007932E7"/>
    <w:rsid w:val="00793400"/>
    <w:rsid w:val="00793401"/>
    <w:rsid w:val="00793433"/>
    <w:rsid w:val="007934B8"/>
    <w:rsid w:val="00793617"/>
    <w:rsid w:val="00793866"/>
    <w:rsid w:val="00793C0D"/>
    <w:rsid w:val="00793D2A"/>
    <w:rsid w:val="00793D4D"/>
    <w:rsid w:val="00794042"/>
    <w:rsid w:val="00794115"/>
    <w:rsid w:val="00794209"/>
    <w:rsid w:val="00794266"/>
    <w:rsid w:val="007942AE"/>
    <w:rsid w:val="007942E0"/>
    <w:rsid w:val="00794793"/>
    <w:rsid w:val="0079491A"/>
    <w:rsid w:val="007949FE"/>
    <w:rsid w:val="00794A32"/>
    <w:rsid w:val="00794AE7"/>
    <w:rsid w:val="00794C51"/>
    <w:rsid w:val="00794F10"/>
    <w:rsid w:val="007950DC"/>
    <w:rsid w:val="00795225"/>
    <w:rsid w:val="007953F6"/>
    <w:rsid w:val="007954F5"/>
    <w:rsid w:val="00795543"/>
    <w:rsid w:val="00795551"/>
    <w:rsid w:val="00795751"/>
    <w:rsid w:val="007958FA"/>
    <w:rsid w:val="00795908"/>
    <w:rsid w:val="00795A82"/>
    <w:rsid w:val="00795AC9"/>
    <w:rsid w:val="00795B09"/>
    <w:rsid w:val="00795C1B"/>
    <w:rsid w:val="00795CD8"/>
    <w:rsid w:val="00795D34"/>
    <w:rsid w:val="00795D6C"/>
    <w:rsid w:val="007961F9"/>
    <w:rsid w:val="00796282"/>
    <w:rsid w:val="0079644D"/>
    <w:rsid w:val="00796488"/>
    <w:rsid w:val="007965D1"/>
    <w:rsid w:val="00796650"/>
    <w:rsid w:val="0079684A"/>
    <w:rsid w:val="00796AE4"/>
    <w:rsid w:val="00796B31"/>
    <w:rsid w:val="00796B84"/>
    <w:rsid w:val="00796C37"/>
    <w:rsid w:val="00796ED2"/>
    <w:rsid w:val="007974CD"/>
    <w:rsid w:val="0079754C"/>
    <w:rsid w:val="007976F6"/>
    <w:rsid w:val="0079782C"/>
    <w:rsid w:val="007978C7"/>
    <w:rsid w:val="00797906"/>
    <w:rsid w:val="00797969"/>
    <w:rsid w:val="00797B1B"/>
    <w:rsid w:val="00797B55"/>
    <w:rsid w:val="00797C37"/>
    <w:rsid w:val="00797D75"/>
    <w:rsid w:val="00797F95"/>
    <w:rsid w:val="00797FB4"/>
    <w:rsid w:val="007A019F"/>
    <w:rsid w:val="007A032B"/>
    <w:rsid w:val="007A046D"/>
    <w:rsid w:val="007A063A"/>
    <w:rsid w:val="007A0835"/>
    <w:rsid w:val="007A08C0"/>
    <w:rsid w:val="007A09C8"/>
    <w:rsid w:val="007A0A4A"/>
    <w:rsid w:val="007A0AD5"/>
    <w:rsid w:val="007A0B57"/>
    <w:rsid w:val="007A0C10"/>
    <w:rsid w:val="007A0CD5"/>
    <w:rsid w:val="007A0D49"/>
    <w:rsid w:val="007A0F2D"/>
    <w:rsid w:val="007A110D"/>
    <w:rsid w:val="007A1321"/>
    <w:rsid w:val="007A1383"/>
    <w:rsid w:val="007A151C"/>
    <w:rsid w:val="007A16A7"/>
    <w:rsid w:val="007A18A7"/>
    <w:rsid w:val="007A1A0E"/>
    <w:rsid w:val="007A1B35"/>
    <w:rsid w:val="007A1F15"/>
    <w:rsid w:val="007A2081"/>
    <w:rsid w:val="007A248D"/>
    <w:rsid w:val="007A251F"/>
    <w:rsid w:val="007A25C3"/>
    <w:rsid w:val="007A2615"/>
    <w:rsid w:val="007A2636"/>
    <w:rsid w:val="007A2A9E"/>
    <w:rsid w:val="007A2B7D"/>
    <w:rsid w:val="007A2BA9"/>
    <w:rsid w:val="007A2C6E"/>
    <w:rsid w:val="007A2C9E"/>
    <w:rsid w:val="007A2D16"/>
    <w:rsid w:val="007A2E25"/>
    <w:rsid w:val="007A2EA4"/>
    <w:rsid w:val="007A2F1C"/>
    <w:rsid w:val="007A309A"/>
    <w:rsid w:val="007A3172"/>
    <w:rsid w:val="007A31F4"/>
    <w:rsid w:val="007A3517"/>
    <w:rsid w:val="007A35F0"/>
    <w:rsid w:val="007A3621"/>
    <w:rsid w:val="007A382F"/>
    <w:rsid w:val="007A3857"/>
    <w:rsid w:val="007A3935"/>
    <w:rsid w:val="007A39F4"/>
    <w:rsid w:val="007A3A2C"/>
    <w:rsid w:val="007A3B7C"/>
    <w:rsid w:val="007A3C54"/>
    <w:rsid w:val="007A3C83"/>
    <w:rsid w:val="007A3E3B"/>
    <w:rsid w:val="007A3EDB"/>
    <w:rsid w:val="007A4016"/>
    <w:rsid w:val="007A4123"/>
    <w:rsid w:val="007A422B"/>
    <w:rsid w:val="007A4419"/>
    <w:rsid w:val="007A4523"/>
    <w:rsid w:val="007A458A"/>
    <w:rsid w:val="007A4D3B"/>
    <w:rsid w:val="007A4DD0"/>
    <w:rsid w:val="007A4FFA"/>
    <w:rsid w:val="007A500A"/>
    <w:rsid w:val="007A52EE"/>
    <w:rsid w:val="007A5500"/>
    <w:rsid w:val="007A57E1"/>
    <w:rsid w:val="007A5836"/>
    <w:rsid w:val="007A5846"/>
    <w:rsid w:val="007A5C9E"/>
    <w:rsid w:val="007A5CA5"/>
    <w:rsid w:val="007A5D75"/>
    <w:rsid w:val="007A5DB3"/>
    <w:rsid w:val="007A61E8"/>
    <w:rsid w:val="007A646E"/>
    <w:rsid w:val="007A659C"/>
    <w:rsid w:val="007A65D8"/>
    <w:rsid w:val="007A65E8"/>
    <w:rsid w:val="007A6A7F"/>
    <w:rsid w:val="007A6ADA"/>
    <w:rsid w:val="007A6E92"/>
    <w:rsid w:val="007A6EAE"/>
    <w:rsid w:val="007A6EDC"/>
    <w:rsid w:val="007A6F21"/>
    <w:rsid w:val="007A72D7"/>
    <w:rsid w:val="007A73EC"/>
    <w:rsid w:val="007A741D"/>
    <w:rsid w:val="007A7639"/>
    <w:rsid w:val="007A779D"/>
    <w:rsid w:val="007A77C0"/>
    <w:rsid w:val="007A7C48"/>
    <w:rsid w:val="007A7CD2"/>
    <w:rsid w:val="007AD020"/>
    <w:rsid w:val="007AD9AE"/>
    <w:rsid w:val="007B0276"/>
    <w:rsid w:val="007B057E"/>
    <w:rsid w:val="007B07E9"/>
    <w:rsid w:val="007B0AE1"/>
    <w:rsid w:val="007B0B32"/>
    <w:rsid w:val="007B0E7E"/>
    <w:rsid w:val="007B105E"/>
    <w:rsid w:val="007B1299"/>
    <w:rsid w:val="007B16D9"/>
    <w:rsid w:val="007B1798"/>
    <w:rsid w:val="007B17B0"/>
    <w:rsid w:val="007B1805"/>
    <w:rsid w:val="007B1BE2"/>
    <w:rsid w:val="007B1C92"/>
    <w:rsid w:val="007B1E12"/>
    <w:rsid w:val="007B219A"/>
    <w:rsid w:val="007B2348"/>
    <w:rsid w:val="007B235E"/>
    <w:rsid w:val="007B250F"/>
    <w:rsid w:val="007B25E2"/>
    <w:rsid w:val="007B2671"/>
    <w:rsid w:val="007B2761"/>
    <w:rsid w:val="007B277B"/>
    <w:rsid w:val="007B2BE7"/>
    <w:rsid w:val="007B2D88"/>
    <w:rsid w:val="007B2E58"/>
    <w:rsid w:val="007B2F30"/>
    <w:rsid w:val="007B3189"/>
    <w:rsid w:val="007B31A5"/>
    <w:rsid w:val="007B342D"/>
    <w:rsid w:val="007B36CF"/>
    <w:rsid w:val="007B3B77"/>
    <w:rsid w:val="007B3BB4"/>
    <w:rsid w:val="007B411B"/>
    <w:rsid w:val="007B41EB"/>
    <w:rsid w:val="007B41F9"/>
    <w:rsid w:val="007B45F9"/>
    <w:rsid w:val="007B480A"/>
    <w:rsid w:val="007B4A3A"/>
    <w:rsid w:val="007B4A71"/>
    <w:rsid w:val="007B4C7B"/>
    <w:rsid w:val="007B4D8D"/>
    <w:rsid w:val="007B4F80"/>
    <w:rsid w:val="007B4FCC"/>
    <w:rsid w:val="007B53B5"/>
    <w:rsid w:val="007B566F"/>
    <w:rsid w:val="007B576E"/>
    <w:rsid w:val="007B58E1"/>
    <w:rsid w:val="007B59D3"/>
    <w:rsid w:val="007B5B5C"/>
    <w:rsid w:val="007B5C85"/>
    <w:rsid w:val="007B5EE8"/>
    <w:rsid w:val="007B5FD1"/>
    <w:rsid w:val="007B6037"/>
    <w:rsid w:val="007B6053"/>
    <w:rsid w:val="007B615E"/>
    <w:rsid w:val="007B6181"/>
    <w:rsid w:val="007B61B5"/>
    <w:rsid w:val="007B61BD"/>
    <w:rsid w:val="007B63B6"/>
    <w:rsid w:val="007B6427"/>
    <w:rsid w:val="007B649E"/>
    <w:rsid w:val="007B64BA"/>
    <w:rsid w:val="007B64E8"/>
    <w:rsid w:val="007B66CF"/>
    <w:rsid w:val="007B66EF"/>
    <w:rsid w:val="007B67DC"/>
    <w:rsid w:val="007B6881"/>
    <w:rsid w:val="007B6907"/>
    <w:rsid w:val="007B6AFA"/>
    <w:rsid w:val="007B6B31"/>
    <w:rsid w:val="007B6C08"/>
    <w:rsid w:val="007B6D10"/>
    <w:rsid w:val="007B6DB3"/>
    <w:rsid w:val="007B6F6F"/>
    <w:rsid w:val="007B6FA7"/>
    <w:rsid w:val="007B6FE8"/>
    <w:rsid w:val="007B7226"/>
    <w:rsid w:val="007B7389"/>
    <w:rsid w:val="007B744E"/>
    <w:rsid w:val="007B7489"/>
    <w:rsid w:val="007B76AD"/>
    <w:rsid w:val="007B7713"/>
    <w:rsid w:val="007B7B19"/>
    <w:rsid w:val="007B7BBA"/>
    <w:rsid w:val="007C0032"/>
    <w:rsid w:val="007C03CB"/>
    <w:rsid w:val="007C0447"/>
    <w:rsid w:val="007C0600"/>
    <w:rsid w:val="007C0675"/>
    <w:rsid w:val="007C0935"/>
    <w:rsid w:val="007C0941"/>
    <w:rsid w:val="007C096C"/>
    <w:rsid w:val="007C0A45"/>
    <w:rsid w:val="007C0A57"/>
    <w:rsid w:val="007C0AE4"/>
    <w:rsid w:val="007C0E29"/>
    <w:rsid w:val="007C11BC"/>
    <w:rsid w:val="007C11BF"/>
    <w:rsid w:val="007C12E8"/>
    <w:rsid w:val="007C13EE"/>
    <w:rsid w:val="007C146F"/>
    <w:rsid w:val="007C14A2"/>
    <w:rsid w:val="007C1770"/>
    <w:rsid w:val="007C17E4"/>
    <w:rsid w:val="007C18BA"/>
    <w:rsid w:val="007C1A49"/>
    <w:rsid w:val="007C1BE5"/>
    <w:rsid w:val="007C1C20"/>
    <w:rsid w:val="007C1C8D"/>
    <w:rsid w:val="007C1CF5"/>
    <w:rsid w:val="007C1DE4"/>
    <w:rsid w:val="007C2478"/>
    <w:rsid w:val="007C25B5"/>
    <w:rsid w:val="007C2809"/>
    <w:rsid w:val="007C2B9A"/>
    <w:rsid w:val="007C2CAE"/>
    <w:rsid w:val="007C2D2F"/>
    <w:rsid w:val="007C2D4C"/>
    <w:rsid w:val="007C2DEE"/>
    <w:rsid w:val="007C2E85"/>
    <w:rsid w:val="007C3014"/>
    <w:rsid w:val="007C33AB"/>
    <w:rsid w:val="007C3540"/>
    <w:rsid w:val="007C3A5D"/>
    <w:rsid w:val="007C3A80"/>
    <w:rsid w:val="007C3AFD"/>
    <w:rsid w:val="007C3B85"/>
    <w:rsid w:val="007C3F4C"/>
    <w:rsid w:val="007C3F7C"/>
    <w:rsid w:val="007C411B"/>
    <w:rsid w:val="007C4130"/>
    <w:rsid w:val="007C4224"/>
    <w:rsid w:val="007C4316"/>
    <w:rsid w:val="007C454C"/>
    <w:rsid w:val="007C461B"/>
    <w:rsid w:val="007C4725"/>
    <w:rsid w:val="007C497E"/>
    <w:rsid w:val="007C4DAB"/>
    <w:rsid w:val="007C4DD9"/>
    <w:rsid w:val="007C4E03"/>
    <w:rsid w:val="007C52D4"/>
    <w:rsid w:val="007C57A0"/>
    <w:rsid w:val="007C593C"/>
    <w:rsid w:val="007C5A19"/>
    <w:rsid w:val="007C5AF4"/>
    <w:rsid w:val="007C5CF8"/>
    <w:rsid w:val="007C5DC4"/>
    <w:rsid w:val="007C5EC7"/>
    <w:rsid w:val="007C5EF7"/>
    <w:rsid w:val="007C6372"/>
    <w:rsid w:val="007C676D"/>
    <w:rsid w:val="007C687D"/>
    <w:rsid w:val="007C687E"/>
    <w:rsid w:val="007C6A3E"/>
    <w:rsid w:val="007C6AD6"/>
    <w:rsid w:val="007C6B00"/>
    <w:rsid w:val="007C6B01"/>
    <w:rsid w:val="007C6ED9"/>
    <w:rsid w:val="007C6FBC"/>
    <w:rsid w:val="007C7052"/>
    <w:rsid w:val="007C7273"/>
    <w:rsid w:val="007C7347"/>
    <w:rsid w:val="007C73C5"/>
    <w:rsid w:val="007C74C2"/>
    <w:rsid w:val="007C762D"/>
    <w:rsid w:val="007C7828"/>
    <w:rsid w:val="007C798C"/>
    <w:rsid w:val="007C7A30"/>
    <w:rsid w:val="007C7AA4"/>
    <w:rsid w:val="007C7B2E"/>
    <w:rsid w:val="007C7CBC"/>
    <w:rsid w:val="007C7D2B"/>
    <w:rsid w:val="007C7D95"/>
    <w:rsid w:val="007D0021"/>
    <w:rsid w:val="007D03C3"/>
    <w:rsid w:val="007D04A6"/>
    <w:rsid w:val="007D05F1"/>
    <w:rsid w:val="007D06D7"/>
    <w:rsid w:val="007D07AE"/>
    <w:rsid w:val="007D088D"/>
    <w:rsid w:val="007D0CB1"/>
    <w:rsid w:val="007D0E42"/>
    <w:rsid w:val="007D0F5C"/>
    <w:rsid w:val="007D1308"/>
    <w:rsid w:val="007D1380"/>
    <w:rsid w:val="007D151B"/>
    <w:rsid w:val="007D15EA"/>
    <w:rsid w:val="007D1690"/>
    <w:rsid w:val="007D1770"/>
    <w:rsid w:val="007D1773"/>
    <w:rsid w:val="007D188F"/>
    <w:rsid w:val="007D1A14"/>
    <w:rsid w:val="007D1A1F"/>
    <w:rsid w:val="007D1ACA"/>
    <w:rsid w:val="007D1B1C"/>
    <w:rsid w:val="007D1CB4"/>
    <w:rsid w:val="007D1E4B"/>
    <w:rsid w:val="007D1E58"/>
    <w:rsid w:val="007D1F75"/>
    <w:rsid w:val="007D2721"/>
    <w:rsid w:val="007D28AA"/>
    <w:rsid w:val="007D29AC"/>
    <w:rsid w:val="007D2B29"/>
    <w:rsid w:val="007D2EEE"/>
    <w:rsid w:val="007D3065"/>
    <w:rsid w:val="007D30CD"/>
    <w:rsid w:val="007D31B5"/>
    <w:rsid w:val="007D31F9"/>
    <w:rsid w:val="007D3287"/>
    <w:rsid w:val="007D356E"/>
    <w:rsid w:val="007D362C"/>
    <w:rsid w:val="007D36FE"/>
    <w:rsid w:val="007D3953"/>
    <w:rsid w:val="007D39ED"/>
    <w:rsid w:val="007D3B03"/>
    <w:rsid w:val="007D3BD3"/>
    <w:rsid w:val="007D3C3B"/>
    <w:rsid w:val="007D3C4D"/>
    <w:rsid w:val="007D3D18"/>
    <w:rsid w:val="007D3F3D"/>
    <w:rsid w:val="007D41A3"/>
    <w:rsid w:val="007D41CD"/>
    <w:rsid w:val="007D42D4"/>
    <w:rsid w:val="007D4451"/>
    <w:rsid w:val="007D477C"/>
    <w:rsid w:val="007D47E4"/>
    <w:rsid w:val="007D4813"/>
    <w:rsid w:val="007D4945"/>
    <w:rsid w:val="007D4AB6"/>
    <w:rsid w:val="007D4B80"/>
    <w:rsid w:val="007D4BD1"/>
    <w:rsid w:val="007D4D28"/>
    <w:rsid w:val="007D4EBF"/>
    <w:rsid w:val="007D4EDD"/>
    <w:rsid w:val="007D544D"/>
    <w:rsid w:val="007D54AC"/>
    <w:rsid w:val="007D54AE"/>
    <w:rsid w:val="007D55A7"/>
    <w:rsid w:val="007D5764"/>
    <w:rsid w:val="007D5949"/>
    <w:rsid w:val="007D599A"/>
    <w:rsid w:val="007D59A5"/>
    <w:rsid w:val="007D5A72"/>
    <w:rsid w:val="007D5B32"/>
    <w:rsid w:val="007D5C09"/>
    <w:rsid w:val="007D5E32"/>
    <w:rsid w:val="007D5E68"/>
    <w:rsid w:val="007D5FE7"/>
    <w:rsid w:val="007D6275"/>
    <w:rsid w:val="007D6443"/>
    <w:rsid w:val="007D6464"/>
    <w:rsid w:val="007D6473"/>
    <w:rsid w:val="007D64D0"/>
    <w:rsid w:val="007D65C8"/>
    <w:rsid w:val="007D67D1"/>
    <w:rsid w:val="007D6981"/>
    <w:rsid w:val="007D6AC7"/>
    <w:rsid w:val="007D6ADA"/>
    <w:rsid w:val="007D6E46"/>
    <w:rsid w:val="007D6E9C"/>
    <w:rsid w:val="007D6FBC"/>
    <w:rsid w:val="007D6FE9"/>
    <w:rsid w:val="007D70CB"/>
    <w:rsid w:val="007D70F2"/>
    <w:rsid w:val="007D739D"/>
    <w:rsid w:val="007D7478"/>
    <w:rsid w:val="007D75E8"/>
    <w:rsid w:val="007D76A5"/>
    <w:rsid w:val="007D7B2E"/>
    <w:rsid w:val="007E0091"/>
    <w:rsid w:val="007E00D2"/>
    <w:rsid w:val="007E0159"/>
    <w:rsid w:val="007E01BA"/>
    <w:rsid w:val="007E0315"/>
    <w:rsid w:val="007E038F"/>
    <w:rsid w:val="007E042B"/>
    <w:rsid w:val="007E044C"/>
    <w:rsid w:val="007E05F2"/>
    <w:rsid w:val="007E05FB"/>
    <w:rsid w:val="007E063D"/>
    <w:rsid w:val="007E0736"/>
    <w:rsid w:val="007E083B"/>
    <w:rsid w:val="007E08A6"/>
    <w:rsid w:val="007E09FC"/>
    <w:rsid w:val="007E0A8A"/>
    <w:rsid w:val="007E0ACF"/>
    <w:rsid w:val="007E0C22"/>
    <w:rsid w:val="007E0E46"/>
    <w:rsid w:val="007E0E75"/>
    <w:rsid w:val="007E0EDC"/>
    <w:rsid w:val="007E1096"/>
    <w:rsid w:val="007E12BF"/>
    <w:rsid w:val="007E12FC"/>
    <w:rsid w:val="007E1C88"/>
    <w:rsid w:val="007E1CB7"/>
    <w:rsid w:val="007E2002"/>
    <w:rsid w:val="007E203F"/>
    <w:rsid w:val="007E204A"/>
    <w:rsid w:val="007E2135"/>
    <w:rsid w:val="007E234C"/>
    <w:rsid w:val="007E2392"/>
    <w:rsid w:val="007E2539"/>
    <w:rsid w:val="007E27BA"/>
    <w:rsid w:val="007E27DB"/>
    <w:rsid w:val="007E27E6"/>
    <w:rsid w:val="007E28C7"/>
    <w:rsid w:val="007E2A22"/>
    <w:rsid w:val="007E2B17"/>
    <w:rsid w:val="007E2D05"/>
    <w:rsid w:val="007E2EEF"/>
    <w:rsid w:val="007E302B"/>
    <w:rsid w:val="007E31F0"/>
    <w:rsid w:val="007E3652"/>
    <w:rsid w:val="007E387C"/>
    <w:rsid w:val="007E3C48"/>
    <w:rsid w:val="007E3DF7"/>
    <w:rsid w:val="007E3FC4"/>
    <w:rsid w:val="007E436B"/>
    <w:rsid w:val="007E436C"/>
    <w:rsid w:val="007E4468"/>
    <w:rsid w:val="007E4688"/>
    <w:rsid w:val="007E4A77"/>
    <w:rsid w:val="007E4B52"/>
    <w:rsid w:val="007E4BA6"/>
    <w:rsid w:val="007E4BE4"/>
    <w:rsid w:val="007E4C3B"/>
    <w:rsid w:val="007E501A"/>
    <w:rsid w:val="007E52F2"/>
    <w:rsid w:val="007E538E"/>
    <w:rsid w:val="007E55EF"/>
    <w:rsid w:val="007E562E"/>
    <w:rsid w:val="007E571F"/>
    <w:rsid w:val="007E575B"/>
    <w:rsid w:val="007E586F"/>
    <w:rsid w:val="007E597A"/>
    <w:rsid w:val="007E5AF1"/>
    <w:rsid w:val="007E5CCB"/>
    <w:rsid w:val="007E5E2D"/>
    <w:rsid w:val="007E5FE7"/>
    <w:rsid w:val="007E60F7"/>
    <w:rsid w:val="007E6119"/>
    <w:rsid w:val="007E651D"/>
    <w:rsid w:val="007E6531"/>
    <w:rsid w:val="007E6784"/>
    <w:rsid w:val="007E67CA"/>
    <w:rsid w:val="007E67FD"/>
    <w:rsid w:val="007E68A0"/>
    <w:rsid w:val="007E6A8C"/>
    <w:rsid w:val="007E6A95"/>
    <w:rsid w:val="007E6ADA"/>
    <w:rsid w:val="007E6BBA"/>
    <w:rsid w:val="007E6BDF"/>
    <w:rsid w:val="007E6C32"/>
    <w:rsid w:val="007E6E30"/>
    <w:rsid w:val="007E700E"/>
    <w:rsid w:val="007E7097"/>
    <w:rsid w:val="007E728D"/>
    <w:rsid w:val="007E73BC"/>
    <w:rsid w:val="007E7411"/>
    <w:rsid w:val="007E747C"/>
    <w:rsid w:val="007E7541"/>
    <w:rsid w:val="007E757A"/>
    <w:rsid w:val="007E769C"/>
    <w:rsid w:val="007E7873"/>
    <w:rsid w:val="007E7A81"/>
    <w:rsid w:val="007E7E22"/>
    <w:rsid w:val="007F020C"/>
    <w:rsid w:val="007F0223"/>
    <w:rsid w:val="007F043B"/>
    <w:rsid w:val="007F0506"/>
    <w:rsid w:val="007F0A0A"/>
    <w:rsid w:val="007F0ACB"/>
    <w:rsid w:val="007F0AEB"/>
    <w:rsid w:val="007F0DBF"/>
    <w:rsid w:val="007F0F42"/>
    <w:rsid w:val="007F0F8E"/>
    <w:rsid w:val="007F10C4"/>
    <w:rsid w:val="007F1113"/>
    <w:rsid w:val="007F1412"/>
    <w:rsid w:val="007F144C"/>
    <w:rsid w:val="007F1872"/>
    <w:rsid w:val="007F1908"/>
    <w:rsid w:val="007F1B7D"/>
    <w:rsid w:val="007F1E41"/>
    <w:rsid w:val="007F2335"/>
    <w:rsid w:val="007F2570"/>
    <w:rsid w:val="007F2673"/>
    <w:rsid w:val="007F2776"/>
    <w:rsid w:val="007F27D4"/>
    <w:rsid w:val="007F28A3"/>
    <w:rsid w:val="007F2D4E"/>
    <w:rsid w:val="007F2D60"/>
    <w:rsid w:val="007F2DC0"/>
    <w:rsid w:val="007F2DC7"/>
    <w:rsid w:val="007F2F13"/>
    <w:rsid w:val="007F305D"/>
    <w:rsid w:val="007F328C"/>
    <w:rsid w:val="007F32B5"/>
    <w:rsid w:val="007F330B"/>
    <w:rsid w:val="007F3458"/>
    <w:rsid w:val="007F34CE"/>
    <w:rsid w:val="007F35F7"/>
    <w:rsid w:val="007F36D7"/>
    <w:rsid w:val="007F38A5"/>
    <w:rsid w:val="007F39D1"/>
    <w:rsid w:val="007F3B33"/>
    <w:rsid w:val="007F3C13"/>
    <w:rsid w:val="007F3C5A"/>
    <w:rsid w:val="007F3CFE"/>
    <w:rsid w:val="007F3DE7"/>
    <w:rsid w:val="007F3E72"/>
    <w:rsid w:val="007F3F9D"/>
    <w:rsid w:val="007F4053"/>
    <w:rsid w:val="007F437B"/>
    <w:rsid w:val="007F43BB"/>
    <w:rsid w:val="007F4691"/>
    <w:rsid w:val="007F4755"/>
    <w:rsid w:val="007F4B34"/>
    <w:rsid w:val="007F4C18"/>
    <w:rsid w:val="007F4E55"/>
    <w:rsid w:val="007F4E79"/>
    <w:rsid w:val="007F4F80"/>
    <w:rsid w:val="007F507A"/>
    <w:rsid w:val="007F54CA"/>
    <w:rsid w:val="007F557E"/>
    <w:rsid w:val="007F5625"/>
    <w:rsid w:val="007F5753"/>
    <w:rsid w:val="007F5803"/>
    <w:rsid w:val="007F5A16"/>
    <w:rsid w:val="007F5BC2"/>
    <w:rsid w:val="007F5C2B"/>
    <w:rsid w:val="007F5EB5"/>
    <w:rsid w:val="007F5EDA"/>
    <w:rsid w:val="007F5F0E"/>
    <w:rsid w:val="007F6224"/>
    <w:rsid w:val="007F639E"/>
    <w:rsid w:val="007F673C"/>
    <w:rsid w:val="007F6898"/>
    <w:rsid w:val="007F6905"/>
    <w:rsid w:val="007F6935"/>
    <w:rsid w:val="007F695C"/>
    <w:rsid w:val="007F6BB6"/>
    <w:rsid w:val="007F6C27"/>
    <w:rsid w:val="007F6D31"/>
    <w:rsid w:val="007F716E"/>
    <w:rsid w:val="007F71C7"/>
    <w:rsid w:val="007F7319"/>
    <w:rsid w:val="007F7339"/>
    <w:rsid w:val="007F779A"/>
    <w:rsid w:val="007F78BC"/>
    <w:rsid w:val="007F7C58"/>
    <w:rsid w:val="007F7DC7"/>
    <w:rsid w:val="007F7F57"/>
    <w:rsid w:val="008000A5"/>
    <w:rsid w:val="0080011A"/>
    <w:rsid w:val="00800297"/>
    <w:rsid w:val="008002A3"/>
    <w:rsid w:val="008005DA"/>
    <w:rsid w:val="00800626"/>
    <w:rsid w:val="00800773"/>
    <w:rsid w:val="008007FD"/>
    <w:rsid w:val="0080093D"/>
    <w:rsid w:val="00800CE2"/>
    <w:rsid w:val="00800F5D"/>
    <w:rsid w:val="0080101E"/>
    <w:rsid w:val="008010BE"/>
    <w:rsid w:val="00801151"/>
    <w:rsid w:val="00801274"/>
    <w:rsid w:val="008013A5"/>
    <w:rsid w:val="008016B7"/>
    <w:rsid w:val="0080177E"/>
    <w:rsid w:val="008017B5"/>
    <w:rsid w:val="0080182E"/>
    <w:rsid w:val="00801891"/>
    <w:rsid w:val="00801917"/>
    <w:rsid w:val="008019C5"/>
    <w:rsid w:val="00801A0D"/>
    <w:rsid w:val="00801A23"/>
    <w:rsid w:val="00801C21"/>
    <w:rsid w:val="00801D27"/>
    <w:rsid w:val="00801DA2"/>
    <w:rsid w:val="00801E98"/>
    <w:rsid w:val="0080208E"/>
    <w:rsid w:val="00802117"/>
    <w:rsid w:val="0080218B"/>
    <w:rsid w:val="00802197"/>
    <w:rsid w:val="00802353"/>
    <w:rsid w:val="00802751"/>
    <w:rsid w:val="008027A9"/>
    <w:rsid w:val="0080281A"/>
    <w:rsid w:val="00802A6F"/>
    <w:rsid w:val="00802CE6"/>
    <w:rsid w:val="00802D9B"/>
    <w:rsid w:val="00802EE6"/>
    <w:rsid w:val="008030BF"/>
    <w:rsid w:val="00803175"/>
    <w:rsid w:val="0080321A"/>
    <w:rsid w:val="00803501"/>
    <w:rsid w:val="00803908"/>
    <w:rsid w:val="00803992"/>
    <w:rsid w:val="008039E6"/>
    <w:rsid w:val="00803CE6"/>
    <w:rsid w:val="00803FAD"/>
    <w:rsid w:val="00804478"/>
    <w:rsid w:val="00804A4A"/>
    <w:rsid w:val="00804A4E"/>
    <w:rsid w:val="00804AA9"/>
    <w:rsid w:val="00804B81"/>
    <w:rsid w:val="00804E07"/>
    <w:rsid w:val="00804FA2"/>
    <w:rsid w:val="00804FE5"/>
    <w:rsid w:val="00805081"/>
    <w:rsid w:val="008050C4"/>
    <w:rsid w:val="008052B8"/>
    <w:rsid w:val="00805330"/>
    <w:rsid w:val="00805756"/>
    <w:rsid w:val="00805862"/>
    <w:rsid w:val="0080588F"/>
    <w:rsid w:val="008058C6"/>
    <w:rsid w:val="00805A64"/>
    <w:rsid w:val="00805D2F"/>
    <w:rsid w:val="00805D9C"/>
    <w:rsid w:val="00805E2F"/>
    <w:rsid w:val="00806140"/>
    <w:rsid w:val="00806632"/>
    <w:rsid w:val="00806C04"/>
    <w:rsid w:val="00806E67"/>
    <w:rsid w:val="00806FC0"/>
    <w:rsid w:val="00807098"/>
    <w:rsid w:val="00807127"/>
    <w:rsid w:val="0080713D"/>
    <w:rsid w:val="008072C8"/>
    <w:rsid w:val="0080745B"/>
    <w:rsid w:val="0080746B"/>
    <w:rsid w:val="00807590"/>
    <w:rsid w:val="0080780A"/>
    <w:rsid w:val="00807831"/>
    <w:rsid w:val="00807B5D"/>
    <w:rsid w:val="00807BE6"/>
    <w:rsid w:val="00807D41"/>
    <w:rsid w:val="00807D58"/>
    <w:rsid w:val="00807E4A"/>
    <w:rsid w:val="00810063"/>
    <w:rsid w:val="00810093"/>
    <w:rsid w:val="00810151"/>
    <w:rsid w:val="0081022A"/>
    <w:rsid w:val="00810368"/>
    <w:rsid w:val="008103B0"/>
    <w:rsid w:val="008103D3"/>
    <w:rsid w:val="00810713"/>
    <w:rsid w:val="00810754"/>
    <w:rsid w:val="008107F8"/>
    <w:rsid w:val="008108BD"/>
    <w:rsid w:val="0081091F"/>
    <w:rsid w:val="00810A91"/>
    <w:rsid w:val="00810B88"/>
    <w:rsid w:val="00810B95"/>
    <w:rsid w:val="00810C94"/>
    <w:rsid w:val="00810C9F"/>
    <w:rsid w:val="00810CC7"/>
    <w:rsid w:val="00810ED7"/>
    <w:rsid w:val="00810ED9"/>
    <w:rsid w:val="0081103B"/>
    <w:rsid w:val="0081116E"/>
    <w:rsid w:val="00811401"/>
    <w:rsid w:val="00811576"/>
    <w:rsid w:val="0081158B"/>
    <w:rsid w:val="00811596"/>
    <w:rsid w:val="008115C4"/>
    <w:rsid w:val="00811631"/>
    <w:rsid w:val="00811815"/>
    <w:rsid w:val="00811870"/>
    <w:rsid w:val="0081199D"/>
    <w:rsid w:val="00811AEE"/>
    <w:rsid w:val="00811B8A"/>
    <w:rsid w:val="00811BEE"/>
    <w:rsid w:val="00811BF7"/>
    <w:rsid w:val="00811D0A"/>
    <w:rsid w:val="00811D21"/>
    <w:rsid w:val="00811D82"/>
    <w:rsid w:val="00811E92"/>
    <w:rsid w:val="00811F2F"/>
    <w:rsid w:val="0081233F"/>
    <w:rsid w:val="008123CF"/>
    <w:rsid w:val="00812564"/>
    <w:rsid w:val="00812842"/>
    <w:rsid w:val="00812A6C"/>
    <w:rsid w:val="00812CE2"/>
    <w:rsid w:val="00812ED1"/>
    <w:rsid w:val="00813129"/>
    <w:rsid w:val="0081319E"/>
    <w:rsid w:val="008131DD"/>
    <w:rsid w:val="008132C9"/>
    <w:rsid w:val="00813507"/>
    <w:rsid w:val="00813566"/>
    <w:rsid w:val="00813761"/>
    <w:rsid w:val="00813879"/>
    <w:rsid w:val="0081387F"/>
    <w:rsid w:val="0081388F"/>
    <w:rsid w:val="008138FB"/>
    <w:rsid w:val="0081395B"/>
    <w:rsid w:val="00813B77"/>
    <w:rsid w:val="00813DEC"/>
    <w:rsid w:val="00813E37"/>
    <w:rsid w:val="00813EF9"/>
    <w:rsid w:val="00814073"/>
    <w:rsid w:val="00814113"/>
    <w:rsid w:val="00814129"/>
    <w:rsid w:val="00814144"/>
    <w:rsid w:val="008141AC"/>
    <w:rsid w:val="00814349"/>
    <w:rsid w:val="00814661"/>
    <w:rsid w:val="0081467A"/>
    <w:rsid w:val="00814777"/>
    <w:rsid w:val="0081482D"/>
    <w:rsid w:val="0081492D"/>
    <w:rsid w:val="00814BD7"/>
    <w:rsid w:val="00814BF7"/>
    <w:rsid w:val="00814CB3"/>
    <w:rsid w:val="00814D2F"/>
    <w:rsid w:val="00814E27"/>
    <w:rsid w:val="00814F32"/>
    <w:rsid w:val="00814F80"/>
    <w:rsid w:val="00815066"/>
    <w:rsid w:val="00815113"/>
    <w:rsid w:val="0081512E"/>
    <w:rsid w:val="008151E6"/>
    <w:rsid w:val="00815217"/>
    <w:rsid w:val="00815479"/>
    <w:rsid w:val="00815A88"/>
    <w:rsid w:val="00815B85"/>
    <w:rsid w:val="00815C24"/>
    <w:rsid w:val="00815CA1"/>
    <w:rsid w:val="00815CEC"/>
    <w:rsid w:val="00815E9B"/>
    <w:rsid w:val="00816132"/>
    <w:rsid w:val="008161E7"/>
    <w:rsid w:val="00816294"/>
    <w:rsid w:val="008162C7"/>
    <w:rsid w:val="0081631F"/>
    <w:rsid w:val="008163B6"/>
    <w:rsid w:val="008163CA"/>
    <w:rsid w:val="008164E1"/>
    <w:rsid w:val="00816532"/>
    <w:rsid w:val="008166C8"/>
    <w:rsid w:val="008168F8"/>
    <w:rsid w:val="00816B58"/>
    <w:rsid w:val="00816E75"/>
    <w:rsid w:val="00816EB0"/>
    <w:rsid w:val="00816F29"/>
    <w:rsid w:val="00816F70"/>
    <w:rsid w:val="00816F8A"/>
    <w:rsid w:val="00816FBF"/>
    <w:rsid w:val="0081715C"/>
    <w:rsid w:val="008171F3"/>
    <w:rsid w:val="0081723A"/>
    <w:rsid w:val="00817363"/>
    <w:rsid w:val="008173C9"/>
    <w:rsid w:val="00817410"/>
    <w:rsid w:val="00817623"/>
    <w:rsid w:val="00817798"/>
    <w:rsid w:val="0081783F"/>
    <w:rsid w:val="008178A2"/>
    <w:rsid w:val="008179DA"/>
    <w:rsid w:val="008179DD"/>
    <w:rsid w:val="008179F3"/>
    <w:rsid w:val="00817C8D"/>
    <w:rsid w:val="00817CC3"/>
    <w:rsid w:val="00817DF1"/>
    <w:rsid w:val="00817EBA"/>
    <w:rsid w:val="00817F0D"/>
    <w:rsid w:val="00820206"/>
    <w:rsid w:val="008202D7"/>
    <w:rsid w:val="00820345"/>
    <w:rsid w:val="00820601"/>
    <w:rsid w:val="008207A9"/>
    <w:rsid w:val="00820944"/>
    <w:rsid w:val="008209FE"/>
    <w:rsid w:val="00820A24"/>
    <w:rsid w:val="00820A84"/>
    <w:rsid w:val="00820AC0"/>
    <w:rsid w:val="00820BF8"/>
    <w:rsid w:val="00820D4B"/>
    <w:rsid w:val="00820DA4"/>
    <w:rsid w:val="00820E49"/>
    <w:rsid w:val="00820EF3"/>
    <w:rsid w:val="008211D6"/>
    <w:rsid w:val="00821591"/>
    <w:rsid w:val="008215B4"/>
    <w:rsid w:val="00821814"/>
    <w:rsid w:val="00821989"/>
    <w:rsid w:val="00821A6E"/>
    <w:rsid w:val="00821AEA"/>
    <w:rsid w:val="00821B1D"/>
    <w:rsid w:val="00821BDA"/>
    <w:rsid w:val="00821D73"/>
    <w:rsid w:val="00821E89"/>
    <w:rsid w:val="00821F79"/>
    <w:rsid w:val="0082201E"/>
    <w:rsid w:val="008223FC"/>
    <w:rsid w:val="0082249C"/>
    <w:rsid w:val="0082275B"/>
    <w:rsid w:val="008227D8"/>
    <w:rsid w:val="008228E1"/>
    <w:rsid w:val="00822B31"/>
    <w:rsid w:val="00822D5C"/>
    <w:rsid w:val="00822D79"/>
    <w:rsid w:val="00822E32"/>
    <w:rsid w:val="00823159"/>
    <w:rsid w:val="008233A3"/>
    <w:rsid w:val="00823454"/>
    <w:rsid w:val="00823473"/>
    <w:rsid w:val="008234DF"/>
    <w:rsid w:val="008234E6"/>
    <w:rsid w:val="00823760"/>
    <w:rsid w:val="0082389A"/>
    <w:rsid w:val="00823C27"/>
    <w:rsid w:val="00823D6E"/>
    <w:rsid w:val="00823E22"/>
    <w:rsid w:val="00823EE0"/>
    <w:rsid w:val="008241FD"/>
    <w:rsid w:val="0082436C"/>
    <w:rsid w:val="00824712"/>
    <w:rsid w:val="00824776"/>
    <w:rsid w:val="00824AAD"/>
    <w:rsid w:val="00824C9C"/>
    <w:rsid w:val="00824E03"/>
    <w:rsid w:val="00824EEF"/>
    <w:rsid w:val="00824F6C"/>
    <w:rsid w:val="00825116"/>
    <w:rsid w:val="0082525C"/>
    <w:rsid w:val="0082530B"/>
    <w:rsid w:val="0082537E"/>
    <w:rsid w:val="00825461"/>
    <w:rsid w:val="008256B7"/>
    <w:rsid w:val="00825CC5"/>
    <w:rsid w:val="00825D06"/>
    <w:rsid w:val="00825DB6"/>
    <w:rsid w:val="00825E09"/>
    <w:rsid w:val="00825EAA"/>
    <w:rsid w:val="008262E3"/>
    <w:rsid w:val="008263F6"/>
    <w:rsid w:val="0082647C"/>
    <w:rsid w:val="008266DA"/>
    <w:rsid w:val="00826A24"/>
    <w:rsid w:val="00826AC3"/>
    <w:rsid w:val="00826D2C"/>
    <w:rsid w:val="00826D31"/>
    <w:rsid w:val="00826D46"/>
    <w:rsid w:val="00826DDA"/>
    <w:rsid w:val="00826EF6"/>
    <w:rsid w:val="00827051"/>
    <w:rsid w:val="00827164"/>
    <w:rsid w:val="008271CA"/>
    <w:rsid w:val="008271F9"/>
    <w:rsid w:val="008273C1"/>
    <w:rsid w:val="008273E1"/>
    <w:rsid w:val="00827574"/>
    <w:rsid w:val="00827598"/>
    <w:rsid w:val="00827602"/>
    <w:rsid w:val="008276B3"/>
    <w:rsid w:val="008277D9"/>
    <w:rsid w:val="00827B6B"/>
    <w:rsid w:val="00830095"/>
    <w:rsid w:val="00830233"/>
    <w:rsid w:val="00830730"/>
    <w:rsid w:val="008309CF"/>
    <w:rsid w:val="008309DD"/>
    <w:rsid w:val="00830EFB"/>
    <w:rsid w:val="00830F49"/>
    <w:rsid w:val="00831203"/>
    <w:rsid w:val="008312E1"/>
    <w:rsid w:val="008313EA"/>
    <w:rsid w:val="00831468"/>
    <w:rsid w:val="008315B6"/>
    <w:rsid w:val="008315BB"/>
    <w:rsid w:val="00831638"/>
    <w:rsid w:val="008319B0"/>
    <w:rsid w:val="00831A99"/>
    <w:rsid w:val="00831BCA"/>
    <w:rsid w:val="00831CF9"/>
    <w:rsid w:val="00831D82"/>
    <w:rsid w:val="00831DE3"/>
    <w:rsid w:val="0083211A"/>
    <w:rsid w:val="00832173"/>
    <w:rsid w:val="008321A5"/>
    <w:rsid w:val="0083229A"/>
    <w:rsid w:val="00832413"/>
    <w:rsid w:val="0083256D"/>
    <w:rsid w:val="00832638"/>
    <w:rsid w:val="00832725"/>
    <w:rsid w:val="008327DE"/>
    <w:rsid w:val="008328BA"/>
    <w:rsid w:val="00832971"/>
    <w:rsid w:val="00832B95"/>
    <w:rsid w:val="00832C07"/>
    <w:rsid w:val="00832E3F"/>
    <w:rsid w:val="00832E65"/>
    <w:rsid w:val="00832E66"/>
    <w:rsid w:val="0083300F"/>
    <w:rsid w:val="008331E4"/>
    <w:rsid w:val="0083328D"/>
    <w:rsid w:val="008332A6"/>
    <w:rsid w:val="00833500"/>
    <w:rsid w:val="00833561"/>
    <w:rsid w:val="008335C9"/>
    <w:rsid w:val="008336F9"/>
    <w:rsid w:val="00833747"/>
    <w:rsid w:val="00833963"/>
    <w:rsid w:val="00833AEF"/>
    <w:rsid w:val="00833B2F"/>
    <w:rsid w:val="00833BB0"/>
    <w:rsid w:val="00833CAC"/>
    <w:rsid w:val="00833FF5"/>
    <w:rsid w:val="0083420E"/>
    <w:rsid w:val="00834210"/>
    <w:rsid w:val="0083434E"/>
    <w:rsid w:val="0083449F"/>
    <w:rsid w:val="00834727"/>
    <w:rsid w:val="0083482C"/>
    <w:rsid w:val="00834A03"/>
    <w:rsid w:val="00834B57"/>
    <w:rsid w:val="00835312"/>
    <w:rsid w:val="00835552"/>
    <w:rsid w:val="00835CE5"/>
    <w:rsid w:val="00835EEA"/>
    <w:rsid w:val="00836128"/>
    <w:rsid w:val="008362CF"/>
    <w:rsid w:val="008362E2"/>
    <w:rsid w:val="008367A2"/>
    <w:rsid w:val="00836A4E"/>
    <w:rsid w:val="00836A55"/>
    <w:rsid w:val="00836CFF"/>
    <w:rsid w:val="00836D5F"/>
    <w:rsid w:val="00836DB1"/>
    <w:rsid w:val="00836F33"/>
    <w:rsid w:val="0083707C"/>
    <w:rsid w:val="00837249"/>
    <w:rsid w:val="0083736D"/>
    <w:rsid w:val="008373F3"/>
    <w:rsid w:val="008374C6"/>
    <w:rsid w:val="008374F3"/>
    <w:rsid w:val="008376F3"/>
    <w:rsid w:val="00837B89"/>
    <w:rsid w:val="00837BF5"/>
    <w:rsid w:val="00837E3B"/>
    <w:rsid w:val="00837EB1"/>
    <w:rsid w:val="008401FC"/>
    <w:rsid w:val="008403A9"/>
    <w:rsid w:val="008405BB"/>
    <w:rsid w:val="0084074B"/>
    <w:rsid w:val="00840750"/>
    <w:rsid w:val="008408AB"/>
    <w:rsid w:val="008408AE"/>
    <w:rsid w:val="0084094A"/>
    <w:rsid w:val="0084094E"/>
    <w:rsid w:val="00840B50"/>
    <w:rsid w:val="00840C6F"/>
    <w:rsid w:val="008410A0"/>
    <w:rsid w:val="008412B5"/>
    <w:rsid w:val="008412FF"/>
    <w:rsid w:val="00841315"/>
    <w:rsid w:val="00841347"/>
    <w:rsid w:val="008415D5"/>
    <w:rsid w:val="008415EC"/>
    <w:rsid w:val="0084176E"/>
    <w:rsid w:val="008418B8"/>
    <w:rsid w:val="0084198F"/>
    <w:rsid w:val="00841D32"/>
    <w:rsid w:val="00841DB4"/>
    <w:rsid w:val="00841EF0"/>
    <w:rsid w:val="008420F3"/>
    <w:rsid w:val="0084218D"/>
    <w:rsid w:val="00842223"/>
    <w:rsid w:val="008422BA"/>
    <w:rsid w:val="00842322"/>
    <w:rsid w:val="008425CE"/>
    <w:rsid w:val="0084265D"/>
    <w:rsid w:val="00842694"/>
    <w:rsid w:val="00842714"/>
    <w:rsid w:val="00842753"/>
    <w:rsid w:val="00842850"/>
    <w:rsid w:val="00842C70"/>
    <w:rsid w:val="0084326C"/>
    <w:rsid w:val="00843397"/>
    <w:rsid w:val="008435FA"/>
    <w:rsid w:val="00843892"/>
    <w:rsid w:val="00843A8C"/>
    <w:rsid w:val="00843BBA"/>
    <w:rsid w:val="00843E7B"/>
    <w:rsid w:val="00843EDD"/>
    <w:rsid w:val="008440B0"/>
    <w:rsid w:val="0084443E"/>
    <w:rsid w:val="00844453"/>
    <w:rsid w:val="008445AA"/>
    <w:rsid w:val="00844641"/>
    <w:rsid w:val="0084472D"/>
    <w:rsid w:val="008447DF"/>
    <w:rsid w:val="008449E6"/>
    <w:rsid w:val="00844BF6"/>
    <w:rsid w:val="00844C1A"/>
    <w:rsid w:val="00844CB0"/>
    <w:rsid w:val="00844E76"/>
    <w:rsid w:val="0084504A"/>
    <w:rsid w:val="0084505F"/>
    <w:rsid w:val="008450B7"/>
    <w:rsid w:val="0084516C"/>
    <w:rsid w:val="0084524A"/>
    <w:rsid w:val="00845319"/>
    <w:rsid w:val="00845496"/>
    <w:rsid w:val="008454AE"/>
    <w:rsid w:val="00845580"/>
    <w:rsid w:val="0084586E"/>
    <w:rsid w:val="008458D0"/>
    <w:rsid w:val="008458E5"/>
    <w:rsid w:val="0084595B"/>
    <w:rsid w:val="00845A3A"/>
    <w:rsid w:val="00845D6A"/>
    <w:rsid w:val="00845EAF"/>
    <w:rsid w:val="00845F29"/>
    <w:rsid w:val="00845F55"/>
    <w:rsid w:val="00845FAD"/>
    <w:rsid w:val="00846298"/>
    <w:rsid w:val="00846300"/>
    <w:rsid w:val="00846367"/>
    <w:rsid w:val="00846499"/>
    <w:rsid w:val="00846584"/>
    <w:rsid w:val="0084659D"/>
    <w:rsid w:val="008466A2"/>
    <w:rsid w:val="00846981"/>
    <w:rsid w:val="008469B6"/>
    <w:rsid w:val="00846B43"/>
    <w:rsid w:val="00846BC0"/>
    <w:rsid w:val="00846CFF"/>
    <w:rsid w:val="00846D5D"/>
    <w:rsid w:val="00846DBE"/>
    <w:rsid w:val="00846E57"/>
    <w:rsid w:val="00846F25"/>
    <w:rsid w:val="00847161"/>
    <w:rsid w:val="00847574"/>
    <w:rsid w:val="008476BD"/>
    <w:rsid w:val="0084781A"/>
    <w:rsid w:val="00847882"/>
    <w:rsid w:val="00847B64"/>
    <w:rsid w:val="00847DB5"/>
    <w:rsid w:val="00847E71"/>
    <w:rsid w:val="00850017"/>
    <w:rsid w:val="008501F0"/>
    <w:rsid w:val="00850359"/>
    <w:rsid w:val="0085036E"/>
    <w:rsid w:val="00850493"/>
    <w:rsid w:val="0085068D"/>
    <w:rsid w:val="0085098A"/>
    <w:rsid w:val="008509D2"/>
    <w:rsid w:val="008509FA"/>
    <w:rsid w:val="00850B06"/>
    <w:rsid w:val="00850B24"/>
    <w:rsid w:val="00850B49"/>
    <w:rsid w:val="00850C13"/>
    <w:rsid w:val="00850DA3"/>
    <w:rsid w:val="00850DFE"/>
    <w:rsid w:val="00850E01"/>
    <w:rsid w:val="00850FB8"/>
    <w:rsid w:val="0085115B"/>
    <w:rsid w:val="00851392"/>
    <w:rsid w:val="0085141C"/>
    <w:rsid w:val="00851473"/>
    <w:rsid w:val="008514D5"/>
    <w:rsid w:val="00851524"/>
    <w:rsid w:val="0085157B"/>
    <w:rsid w:val="0085158B"/>
    <w:rsid w:val="008515E1"/>
    <w:rsid w:val="00851755"/>
    <w:rsid w:val="00851809"/>
    <w:rsid w:val="00851951"/>
    <w:rsid w:val="00851A50"/>
    <w:rsid w:val="00851A85"/>
    <w:rsid w:val="00851AA2"/>
    <w:rsid w:val="00851E92"/>
    <w:rsid w:val="00851F3D"/>
    <w:rsid w:val="0085207B"/>
    <w:rsid w:val="0085211C"/>
    <w:rsid w:val="008523B1"/>
    <w:rsid w:val="008524B0"/>
    <w:rsid w:val="008525F7"/>
    <w:rsid w:val="00852652"/>
    <w:rsid w:val="00852662"/>
    <w:rsid w:val="00852710"/>
    <w:rsid w:val="00852722"/>
    <w:rsid w:val="00852B48"/>
    <w:rsid w:val="00852BB4"/>
    <w:rsid w:val="00852C55"/>
    <w:rsid w:val="00852C5A"/>
    <w:rsid w:val="00852EA8"/>
    <w:rsid w:val="00852EF1"/>
    <w:rsid w:val="00852F85"/>
    <w:rsid w:val="00852F90"/>
    <w:rsid w:val="00852FC2"/>
    <w:rsid w:val="00852FD6"/>
    <w:rsid w:val="008530CC"/>
    <w:rsid w:val="008530E2"/>
    <w:rsid w:val="00853167"/>
    <w:rsid w:val="00853338"/>
    <w:rsid w:val="008534EF"/>
    <w:rsid w:val="00853505"/>
    <w:rsid w:val="008535F4"/>
    <w:rsid w:val="008536F1"/>
    <w:rsid w:val="0085388F"/>
    <w:rsid w:val="00853BD0"/>
    <w:rsid w:val="00853FF9"/>
    <w:rsid w:val="008540F0"/>
    <w:rsid w:val="008542EE"/>
    <w:rsid w:val="00854439"/>
    <w:rsid w:val="008547D4"/>
    <w:rsid w:val="00854A3B"/>
    <w:rsid w:val="00854C9E"/>
    <w:rsid w:val="00854EB0"/>
    <w:rsid w:val="008550C0"/>
    <w:rsid w:val="00855509"/>
    <w:rsid w:val="008555FF"/>
    <w:rsid w:val="00855694"/>
    <w:rsid w:val="008556B6"/>
    <w:rsid w:val="00855B44"/>
    <w:rsid w:val="00855C5F"/>
    <w:rsid w:val="00855D5A"/>
    <w:rsid w:val="00855DEF"/>
    <w:rsid w:val="00855E28"/>
    <w:rsid w:val="00855F93"/>
    <w:rsid w:val="00856089"/>
    <w:rsid w:val="008560BF"/>
    <w:rsid w:val="008560C6"/>
    <w:rsid w:val="00856105"/>
    <w:rsid w:val="00856450"/>
    <w:rsid w:val="0085645E"/>
    <w:rsid w:val="008564A0"/>
    <w:rsid w:val="008564A1"/>
    <w:rsid w:val="00856673"/>
    <w:rsid w:val="008567F7"/>
    <w:rsid w:val="00856825"/>
    <w:rsid w:val="008569EA"/>
    <w:rsid w:val="00856B23"/>
    <w:rsid w:val="00856D4B"/>
    <w:rsid w:val="00856DF7"/>
    <w:rsid w:val="00856EDD"/>
    <w:rsid w:val="00856F71"/>
    <w:rsid w:val="008570C9"/>
    <w:rsid w:val="008571F4"/>
    <w:rsid w:val="00857802"/>
    <w:rsid w:val="00857838"/>
    <w:rsid w:val="00857865"/>
    <w:rsid w:val="00857999"/>
    <w:rsid w:val="00857A51"/>
    <w:rsid w:val="00857C13"/>
    <w:rsid w:val="00857C48"/>
    <w:rsid w:val="00857D3D"/>
    <w:rsid w:val="00857F74"/>
    <w:rsid w:val="00860129"/>
    <w:rsid w:val="00860468"/>
    <w:rsid w:val="008608E1"/>
    <w:rsid w:val="00860998"/>
    <w:rsid w:val="008609C2"/>
    <w:rsid w:val="00860CA5"/>
    <w:rsid w:val="00860CF0"/>
    <w:rsid w:val="00860E44"/>
    <w:rsid w:val="00860F7F"/>
    <w:rsid w:val="0086100C"/>
    <w:rsid w:val="00861439"/>
    <w:rsid w:val="0086152E"/>
    <w:rsid w:val="0086177D"/>
    <w:rsid w:val="008617C4"/>
    <w:rsid w:val="008617F7"/>
    <w:rsid w:val="00861829"/>
    <w:rsid w:val="008618C5"/>
    <w:rsid w:val="00861A4F"/>
    <w:rsid w:val="00861B99"/>
    <w:rsid w:val="00861CB3"/>
    <w:rsid w:val="00861DC9"/>
    <w:rsid w:val="00861F18"/>
    <w:rsid w:val="00861F7E"/>
    <w:rsid w:val="008620F0"/>
    <w:rsid w:val="00862454"/>
    <w:rsid w:val="00862707"/>
    <w:rsid w:val="0086276F"/>
    <w:rsid w:val="00862928"/>
    <w:rsid w:val="00862C75"/>
    <w:rsid w:val="00862FA6"/>
    <w:rsid w:val="00863053"/>
    <w:rsid w:val="008633AC"/>
    <w:rsid w:val="008635BA"/>
    <w:rsid w:val="00863672"/>
    <w:rsid w:val="0086374A"/>
    <w:rsid w:val="008638A0"/>
    <w:rsid w:val="00863A3B"/>
    <w:rsid w:val="00863C71"/>
    <w:rsid w:val="00863E34"/>
    <w:rsid w:val="00863E5B"/>
    <w:rsid w:val="00863FC9"/>
    <w:rsid w:val="00864003"/>
    <w:rsid w:val="0086401F"/>
    <w:rsid w:val="0086429D"/>
    <w:rsid w:val="008647B3"/>
    <w:rsid w:val="008648D9"/>
    <w:rsid w:val="00864C5A"/>
    <w:rsid w:val="00864C5E"/>
    <w:rsid w:val="00864D0F"/>
    <w:rsid w:val="00865143"/>
    <w:rsid w:val="00865257"/>
    <w:rsid w:val="008654DA"/>
    <w:rsid w:val="00865515"/>
    <w:rsid w:val="00865D56"/>
    <w:rsid w:val="00865DA7"/>
    <w:rsid w:val="00865EB6"/>
    <w:rsid w:val="008660A2"/>
    <w:rsid w:val="00866183"/>
    <w:rsid w:val="00866366"/>
    <w:rsid w:val="008664FD"/>
    <w:rsid w:val="008665E5"/>
    <w:rsid w:val="00866706"/>
    <w:rsid w:val="0086670D"/>
    <w:rsid w:val="00866AA9"/>
    <w:rsid w:val="00866B31"/>
    <w:rsid w:val="00866C68"/>
    <w:rsid w:val="00866D75"/>
    <w:rsid w:val="00866DEC"/>
    <w:rsid w:val="00866E72"/>
    <w:rsid w:val="00866FD8"/>
    <w:rsid w:val="0086719A"/>
    <w:rsid w:val="008672D5"/>
    <w:rsid w:val="00867352"/>
    <w:rsid w:val="00867662"/>
    <w:rsid w:val="008676F3"/>
    <w:rsid w:val="00867769"/>
    <w:rsid w:val="0086779F"/>
    <w:rsid w:val="00867BD1"/>
    <w:rsid w:val="00867D66"/>
    <w:rsid w:val="00867D68"/>
    <w:rsid w:val="00867EF8"/>
    <w:rsid w:val="00870028"/>
    <w:rsid w:val="00870029"/>
    <w:rsid w:val="008701D8"/>
    <w:rsid w:val="00870263"/>
    <w:rsid w:val="008702EE"/>
    <w:rsid w:val="0087035A"/>
    <w:rsid w:val="008703A3"/>
    <w:rsid w:val="008703D1"/>
    <w:rsid w:val="00870444"/>
    <w:rsid w:val="00870691"/>
    <w:rsid w:val="00870753"/>
    <w:rsid w:val="00870892"/>
    <w:rsid w:val="00870A2B"/>
    <w:rsid w:val="00870C13"/>
    <w:rsid w:val="00870E50"/>
    <w:rsid w:val="0087116D"/>
    <w:rsid w:val="0087122B"/>
    <w:rsid w:val="0087143C"/>
    <w:rsid w:val="00871470"/>
    <w:rsid w:val="008716A5"/>
    <w:rsid w:val="0087191C"/>
    <w:rsid w:val="00871977"/>
    <w:rsid w:val="0087197E"/>
    <w:rsid w:val="00871AFA"/>
    <w:rsid w:val="00871B2F"/>
    <w:rsid w:val="00871CC1"/>
    <w:rsid w:val="00871CFD"/>
    <w:rsid w:val="00871E14"/>
    <w:rsid w:val="00871F46"/>
    <w:rsid w:val="00871F91"/>
    <w:rsid w:val="00871FD9"/>
    <w:rsid w:val="0087202D"/>
    <w:rsid w:val="00872674"/>
    <w:rsid w:val="008727CF"/>
    <w:rsid w:val="00873227"/>
    <w:rsid w:val="008732CE"/>
    <w:rsid w:val="008732D1"/>
    <w:rsid w:val="008735DB"/>
    <w:rsid w:val="00873698"/>
    <w:rsid w:val="00873C34"/>
    <w:rsid w:val="00873E37"/>
    <w:rsid w:val="00873FDE"/>
    <w:rsid w:val="00874038"/>
    <w:rsid w:val="00874048"/>
    <w:rsid w:val="00874069"/>
    <w:rsid w:val="008740F2"/>
    <w:rsid w:val="00874168"/>
    <w:rsid w:val="00874586"/>
    <w:rsid w:val="008745E5"/>
    <w:rsid w:val="008747FB"/>
    <w:rsid w:val="00874AA3"/>
    <w:rsid w:val="00874C20"/>
    <w:rsid w:val="00874FB7"/>
    <w:rsid w:val="00875118"/>
    <w:rsid w:val="008751B2"/>
    <w:rsid w:val="008753B1"/>
    <w:rsid w:val="008753F8"/>
    <w:rsid w:val="008754CB"/>
    <w:rsid w:val="008754EF"/>
    <w:rsid w:val="0087560E"/>
    <w:rsid w:val="0087569C"/>
    <w:rsid w:val="0087587E"/>
    <w:rsid w:val="00875B69"/>
    <w:rsid w:val="00875C5B"/>
    <w:rsid w:val="00875C9E"/>
    <w:rsid w:val="00875CDE"/>
    <w:rsid w:val="00875D05"/>
    <w:rsid w:val="00875D89"/>
    <w:rsid w:val="00875E76"/>
    <w:rsid w:val="0087606E"/>
    <w:rsid w:val="008763C2"/>
    <w:rsid w:val="00876467"/>
    <w:rsid w:val="0087653B"/>
    <w:rsid w:val="0087675A"/>
    <w:rsid w:val="0087694A"/>
    <w:rsid w:val="00876983"/>
    <w:rsid w:val="00876A9A"/>
    <w:rsid w:val="00876BCE"/>
    <w:rsid w:val="00876DA2"/>
    <w:rsid w:val="00876DEA"/>
    <w:rsid w:val="00876E53"/>
    <w:rsid w:val="00876ED1"/>
    <w:rsid w:val="008770D3"/>
    <w:rsid w:val="0087715B"/>
    <w:rsid w:val="0087722D"/>
    <w:rsid w:val="008772F6"/>
    <w:rsid w:val="00877357"/>
    <w:rsid w:val="00877823"/>
    <w:rsid w:val="0087791D"/>
    <w:rsid w:val="008779C8"/>
    <w:rsid w:val="00877A99"/>
    <w:rsid w:val="00877BE3"/>
    <w:rsid w:val="00877C87"/>
    <w:rsid w:val="008801AC"/>
    <w:rsid w:val="0088070D"/>
    <w:rsid w:val="0088073E"/>
    <w:rsid w:val="0088073F"/>
    <w:rsid w:val="0088081B"/>
    <w:rsid w:val="00880CC0"/>
    <w:rsid w:val="00880D2A"/>
    <w:rsid w:val="00880D4F"/>
    <w:rsid w:val="00880D75"/>
    <w:rsid w:val="00880DDA"/>
    <w:rsid w:val="00880DFD"/>
    <w:rsid w:val="00880E3E"/>
    <w:rsid w:val="00880E58"/>
    <w:rsid w:val="00880EE7"/>
    <w:rsid w:val="00881066"/>
    <w:rsid w:val="008814F0"/>
    <w:rsid w:val="0088167F"/>
    <w:rsid w:val="0088176F"/>
    <w:rsid w:val="00881810"/>
    <w:rsid w:val="00881827"/>
    <w:rsid w:val="00881B61"/>
    <w:rsid w:val="00881D2B"/>
    <w:rsid w:val="00881E88"/>
    <w:rsid w:val="00881E94"/>
    <w:rsid w:val="00881F00"/>
    <w:rsid w:val="00881F0F"/>
    <w:rsid w:val="00881FE6"/>
    <w:rsid w:val="00882276"/>
    <w:rsid w:val="008822C3"/>
    <w:rsid w:val="008827CB"/>
    <w:rsid w:val="00882863"/>
    <w:rsid w:val="008828E8"/>
    <w:rsid w:val="008828FC"/>
    <w:rsid w:val="00882993"/>
    <w:rsid w:val="008829E9"/>
    <w:rsid w:val="00882AF1"/>
    <w:rsid w:val="00882C5D"/>
    <w:rsid w:val="00882D21"/>
    <w:rsid w:val="00882D3B"/>
    <w:rsid w:val="00882EAE"/>
    <w:rsid w:val="00882F47"/>
    <w:rsid w:val="00882FD0"/>
    <w:rsid w:val="0088302C"/>
    <w:rsid w:val="008830FB"/>
    <w:rsid w:val="0088328B"/>
    <w:rsid w:val="008832C2"/>
    <w:rsid w:val="008834CC"/>
    <w:rsid w:val="0088391E"/>
    <w:rsid w:val="0088395C"/>
    <w:rsid w:val="008839EC"/>
    <w:rsid w:val="00883EBA"/>
    <w:rsid w:val="00883EC6"/>
    <w:rsid w:val="00884077"/>
    <w:rsid w:val="00884213"/>
    <w:rsid w:val="00884482"/>
    <w:rsid w:val="00884662"/>
    <w:rsid w:val="00884B29"/>
    <w:rsid w:val="00884BA8"/>
    <w:rsid w:val="00884BB6"/>
    <w:rsid w:val="00884BBF"/>
    <w:rsid w:val="00884BF2"/>
    <w:rsid w:val="00884C61"/>
    <w:rsid w:val="00884EA3"/>
    <w:rsid w:val="00884F38"/>
    <w:rsid w:val="0088519E"/>
    <w:rsid w:val="0088529D"/>
    <w:rsid w:val="0088530D"/>
    <w:rsid w:val="0088539A"/>
    <w:rsid w:val="0088597B"/>
    <w:rsid w:val="00885A2B"/>
    <w:rsid w:val="00885BEE"/>
    <w:rsid w:val="00885C2C"/>
    <w:rsid w:val="00885C33"/>
    <w:rsid w:val="00885C65"/>
    <w:rsid w:val="00885D07"/>
    <w:rsid w:val="00885F0B"/>
    <w:rsid w:val="008860C9"/>
    <w:rsid w:val="008860D4"/>
    <w:rsid w:val="00886209"/>
    <w:rsid w:val="00886386"/>
    <w:rsid w:val="0088638F"/>
    <w:rsid w:val="00886400"/>
    <w:rsid w:val="0088648E"/>
    <w:rsid w:val="00886596"/>
    <w:rsid w:val="00886630"/>
    <w:rsid w:val="0088676C"/>
    <w:rsid w:val="0088690D"/>
    <w:rsid w:val="00886CB4"/>
    <w:rsid w:val="00886E1E"/>
    <w:rsid w:val="00886F0D"/>
    <w:rsid w:val="00887041"/>
    <w:rsid w:val="00887072"/>
    <w:rsid w:val="00887237"/>
    <w:rsid w:val="008872B5"/>
    <w:rsid w:val="00887595"/>
    <w:rsid w:val="0088759B"/>
    <w:rsid w:val="008875FA"/>
    <w:rsid w:val="00887665"/>
    <w:rsid w:val="008878C6"/>
    <w:rsid w:val="008879B0"/>
    <w:rsid w:val="00887A87"/>
    <w:rsid w:val="00887A9D"/>
    <w:rsid w:val="00887C6C"/>
    <w:rsid w:val="00887C7D"/>
    <w:rsid w:val="00887CAF"/>
    <w:rsid w:val="00887D11"/>
    <w:rsid w:val="00887E1E"/>
    <w:rsid w:val="00887E52"/>
    <w:rsid w:val="00890077"/>
    <w:rsid w:val="008901FE"/>
    <w:rsid w:val="00890336"/>
    <w:rsid w:val="008903BA"/>
    <w:rsid w:val="008903EB"/>
    <w:rsid w:val="0089062D"/>
    <w:rsid w:val="00890899"/>
    <w:rsid w:val="00890B81"/>
    <w:rsid w:val="00890CFC"/>
    <w:rsid w:val="00890D64"/>
    <w:rsid w:val="00890D75"/>
    <w:rsid w:val="00890DC5"/>
    <w:rsid w:val="00890E3B"/>
    <w:rsid w:val="00891087"/>
    <w:rsid w:val="00891112"/>
    <w:rsid w:val="00891123"/>
    <w:rsid w:val="008913E5"/>
    <w:rsid w:val="00891424"/>
    <w:rsid w:val="0089144C"/>
    <w:rsid w:val="0089166F"/>
    <w:rsid w:val="00891712"/>
    <w:rsid w:val="008917E0"/>
    <w:rsid w:val="00891D60"/>
    <w:rsid w:val="0089204D"/>
    <w:rsid w:val="00892133"/>
    <w:rsid w:val="00892393"/>
    <w:rsid w:val="0089242F"/>
    <w:rsid w:val="0089252C"/>
    <w:rsid w:val="00892538"/>
    <w:rsid w:val="00892570"/>
    <w:rsid w:val="0089262D"/>
    <w:rsid w:val="00892678"/>
    <w:rsid w:val="008927C0"/>
    <w:rsid w:val="00892A92"/>
    <w:rsid w:val="00892AC8"/>
    <w:rsid w:val="00892AE8"/>
    <w:rsid w:val="00892B0E"/>
    <w:rsid w:val="00892B5B"/>
    <w:rsid w:val="00892BBB"/>
    <w:rsid w:val="00892E06"/>
    <w:rsid w:val="008930D8"/>
    <w:rsid w:val="00893297"/>
    <w:rsid w:val="00893538"/>
    <w:rsid w:val="0089354C"/>
    <w:rsid w:val="0089359B"/>
    <w:rsid w:val="008937E1"/>
    <w:rsid w:val="00893993"/>
    <w:rsid w:val="00893A9B"/>
    <w:rsid w:val="00893E2C"/>
    <w:rsid w:val="00894273"/>
    <w:rsid w:val="0089433B"/>
    <w:rsid w:val="008943EB"/>
    <w:rsid w:val="0089454D"/>
    <w:rsid w:val="00894581"/>
    <w:rsid w:val="00894606"/>
    <w:rsid w:val="008946E2"/>
    <w:rsid w:val="0089482C"/>
    <w:rsid w:val="008949C4"/>
    <w:rsid w:val="00894BD4"/>
    <w:rsid w:val="00894C4A"/>
    <w:rsid w:val="00894D25"/>
    <w:rsid w:val="00894F16"/>
    <w:rsid w:val="00895076"/>
    <w:rsid w:val="0089514E"/>
    <w:rsid w:val="0089515C"/>
    <w:rsid w:val="00895343"/>
    <w:rsid w:val="00895596"/>
    <w:rsid w:val="008956C9"/>
    <w:rsid w:val="008956F7"/>
    <w:rsid w:val="00895769"/>
    <w:rsid w:val="00895C7F"/>
    <w:rsid w:val="00895EA0"/>
    <w:rsid w:val="0089631D"/>
    <w:rsid w:val="0089655B"/>
    <w:rsid w:val="008965E4"/>
    <w:rsid w:val="00896876"/>
    <w:rsid w:val="008968B4"/>
    <w:rsid w:val="00896963"/>
    <w:rsid w:val="00896A19"/>
    <w:rsid w:val="00896A70"/>
    <w:rsid w:val="00896CD0"/>
    <w:rsid w:val="00896DA0"/>
    <w:rsid w:val="00896DB1"/>
    <w:rsid w:val="00896ED9"/>
    <w:rsid w:val="00897040"/>
    <w:rsid w:val="008973B7"/>
    <w:rsid w:val="00897412"/>
    <w:rsid w:val="0089742A"/>
    <w:rsid w:val="0089758B"/>
    <w:rsid w:val="00897597"/>
    <w:rsid w:val="008978DF"/>
    <w:rsid w:val="008978E4"/>
    <w:rsid w:val="00897B72"/>
    <w:rsid w:val="00897BAB"/>
    <w:rsid w:val="00897E25"/>
    <w:rsid w:val="008A02EE"/>
    <w:rsid w:val="008A033A"/>
    <w:rsid w:val="008A0540"/>
    <w:rsid w:val="008A05E6"/>
    <w:rsid w:val="008A05FE"/>
    <w:rsid w:val="008A06C7"/>
    <w:rsid w:val="008A074F"/>
    <w:rsid w:val="008A0807"/>
    <w:rsid w:val="008A0920"/>
    <w:rsid w:val="008A0994"/>
    <w:rsid w:val="008A09AF"/>
    <w:rsid w:val="008A0A32"/>
    <w:rsid w:val="008A0AF7"/>
    <w:rsid w:val="008A0DC8"/>
    <w:rsid w:val="008A0DCA"/>
    <w:rsid w:val="008A11B7"/>
    <w:rsid w:val="008A11C3"/>
    <w:rsid w:val="008A11E4"/>
    <w:rsid w:val="008A1275"/>
    <w:rsid w:val="008A137F"/>
    <w:rsid w:val="008A1387"/>
    <w:rsid w:val="008A13E6"/>
    <w:rsid w:val="008A17D8"/>
    <w:rsid w:val="008A18B1"/>
    <w:rsid w:val="008A1954"/>
    <w:rsid w:val="008A197C"/>
    <w:rsid w:val="008A19E3"/>
    <w:rsid w:val="008A1AF9"/>
    <w:rsid w:val="008A1BB1"/>
    <w:rsid w:val="008A1E64"/>
    <w:rsid w:val="008A227C"/>
    <w:rsid w:val="008A242D"/>
    <w:rsid w:val="008A278E"/>
    <w:rsid w:val="008A2840"/>
    <w:rsid w:val="008A29D9"/>
    <w:rsid w:val="008A2AE8"/>
    <w:rsid w:val="008A2B53"/>
    <w:rsid w:val="008A2C0A"/>
    <w:rsid w:val="008A2D70"/>
    <w:rsid w:val="008A3201"/>
    <w:rsid w:val="008A35A6"/>
    <w:rsid w:val="008A35DD"/>
    <w:rsid w:val="008A36EE"/>
    <w:rsid w:val="008A3AA4"/>
    <w:rsid w:val="008A3B30"/>
    <w:rsid w:val="008A3DBC"/>
    <w:rsid w:val="008A3E58"/>
    <w:rsid w:val="008A3E8C"/>
    <w:rsid w:val="008A3EE0"/>
    <w:rsid w:val="008A405D"/>
    <w:rsid w:val="008A4469"/>
    <w:rsid w:val="008A454C"/>
    <w:rsid w:val="008A47BD"/>
    <w:rsid w:val="008A48BB"/>
    <w:rsid w:val="008A4A09"/>
    <w:rsid w:val="008A4CEF"/>
    <w:rsid w:val="008A4DB5"/>
    <w:rsid w:val="008A4E26"/>
    <w:rsid w:val="008A4E8F"/>
    <w:rsid w:val="008A4EEB"/>
    <w:rsid w:val="008A4EF6"/>
    <w:rsid w:val="008A4EFF"/>
    <w:rsid w:val="008A51A1"/>
    <w:rsid w:val="008A51CB"/>
    <w:rsid w:val="008A54CD"/>
    <w:rsid w:val="008A559E"/>
    <w:rsid w:val="008A5A80"/>
    <w:rsid w:val="008A5A8D"/>
    <w:rsid w:val="008A5B64"/>
    <w:rsid w:val="008A5C36"/>
    <w:rsid w:val="008A5D9C"/>
    <w:rsid w:val="008A5DEF"/>
    <w:rsid w:val="008A5E66"/>
    <w:rsid w:val="008A62FE"/>
    <w:rsid w:val="008A64A7"/>
    <w:rsid w:val="008A6AFB"/>
    <w:rsid w:val="008A6B85"/>
    <w:rsid w:val="008A6BFB"/>
    <w:rsid w:val="008A6D64"/>
    <w:rsid w:val="008A6E0D"/>
    <w:rsid w:val="008A6E21"/>
    <w:rsid w:val="008A705A"/>
    <w:rsid w:val="008A710E"/>
    <w:rsid w:val="008A71C5"/>
    <w:rsid w:val="008A71F3"/>
    <w:rsid w:val="008A7209"/>
    <w:rsid w:val="008A73E3"/>
    <w:rsid w:val="008A7523"/>
    <w:rsid w:val="008A75B5"/>
    <w:rsid w:val="008A778D"/>
    <w:rsid w:val="008A77F1"/>
    <w:rsid w:val="008A7AAE"/>
    <w:rsid w:val="008A7B02"/>
    <w:rsid w:val="008A7C5B"/>
    <w:rsid w:val="008A7CBD"/>
    <w:rsid w:val="008A7DBB"/>
    <w:rsid w:val="008A7EEE"/>
    <w:rsid w:val="008B03B0"/>
    <w:rsid w:val="008B0410"/>
    <w:rsid w:val="008B0427"/>
    <w:rsid w:val="008B0742"/>
    <w:rsid w:val="008B07A2"/>
    <w:rsid w:val="008B07D2"/>
    <w:rsid w:val="008B0891"/>
    <w:rsid w:val="008B0A62"/>
    <w:rsid w:val="008B0AE5"/>
    <w:rsid w:val="008B0D68"/>
    <w:rsid w:val="008B0F2E"/>
    <w:rsid w:val="008B0FF3"/>
    <w:rsid w:val="008B10DC"/>
    <w:rsid w:val="008B116C"/>
    <w:rsid w:val="008B121B"/>
    <w:rsid w:val="008B124D"/>
    <w:rsid w:val="008B1250"/>
    <w:rsid w:val="008B142E"/>
    <w:rsid w:val="008B14C8"/>
    <w:rsid w:val="008B15A2"/>
    <w:rsid w:val="008B15BF"/>
    <w:rsid w:val="008B1612"/>
    <w:rsid w:val="008B16EF"/>
    <w:rsid w:val="008B179A"/>
    <w:rsid w:val="008B1CC5"/>
    <w:rsid w:val="008B2188"/>
    <w:rsid w:val="008B22F0"/>
    <w:rsid w:val="008B2431"/>
    <w:rsid w:val="008B2E0A"/>
    <w:rsid w:val="008B317B"/>
    <w:rsid w:val="008B31C6"/>
    <w:rsid w:val="008B31DB"/>
    <w:rsid w:val="008B3269"/>
    <w:rsid w:val="008B3545"/>
    <w:rsid w:val="008B3888"/>
    <w:rsid w:val="008B38F8"/>
    <w:rsid w:val="008B3AB4"/>
    <w:rsid w:val="008B3BE8"/>
    <w:rsid w:val="008B3D0F"/>
    <w:rsid w:val="008B3EC6"/>
    <w:rsid w:val="008B43A8"/>
    <w:rsid w:val="008B43ED"/>
    <w:rsid w:val="008B4421"/>
    <w:rsid w:val="008B4455"/>
    <w:rsid w:val="008B4666"/>
    <w:rsid w:val="008B46E7"/>
    <w:rsid w:val="008B48A5"/>
    <w:rsid w:val="008B4AED"/>
    <w:rsid w:val="008B4BE1"/>
    <w:rsid w:val="008B4D6F"/>
    <w:rsid w:val="008B4EAF"/>
    <w:rsid w:val="008B4FF8"/>
    <w:rsid w:val="008B5130"/>
    <w:rsid w:val="008B5352"/>
    <w:rsid w:val="008B55A3"/>
    <w:rsid w:val="008B55F5"/>
    <w:rsid w:val="008B5639"/>
    <w:rsid w:val="008B57D2"/>
    <w:rsid w:val="008B5A4E"/>
    <w:rsid w:val="008B5AEE"/>
    <w:rsid w:val="008B5AEF"/>
    <w:rsid w:val="008B633E"/>
    <w:rsid w:val="008B64FC"/>
    <w:rsid w:val="008B6681"/>
    <w:rsid w:val="008B690C"/>
    <w:rsid w:val="008B6F67"/>
    <w:rsid w:val="008B7306"/>
    <w:rsid w:val="008B7354"/>
    <w:rsid w:val="008B74B0"/>
    <w:rsid w:val="008B7737"/>
    <w:rsid w:val="008B7876"/>
    <w:rsid w:val="008B78BA"/>
    <w:rsid w:val="008B79A1"/>
    <w:rsid w:val="008B7A00"/>
    <w:rsid w:val="008B7A21"/>
    <w:rsid w:val="008B7AF9"/>
    <w:rsid w:val="008B7B41"/>
    <w:rsid w:val="008B7E1E"/>
    <w:rsid w:val="008B7E22"/>
    <w:rsid w:val="008C0023"/>
    <w:rsid w:val="008C0150"/>
    <w:rsid w:val="008C0279"/>
    <w:rsid w:val="008C0470"/>
    <w:rsid w:val="008C0690"/>
    <w:rsid w:val="008C069C"/>
    <w:rsid w:val="008C06B9"/>
    <w:rsid w:val="008C0B16"/>
    <w:rsid w:val="008C0C12"/>
    <w:rsid w:val="008C0C18"/>
    <w:rsid w:val="008C0EC4"/>
    <w:rsid w:val="008C0ED1"/>
    <w:rsid w:val="008C104C"/>
    <w:rsid w:val="008C1267"/>
    <w:rsid w:val="008C136B"/>
    <w:rsid w:val="008C13A6"/>
    <w:rsid w:val="008C1569"/>
    <w:rsid w:val="008C15BF"/>
    <w:rsid w:val="008C15DF"/>
    <w:rsid w:val="008C190D"/>
    <w:rsid w:val="008C1958"/>
    <w:rsid w:val="008C1998"/>
    <w:rsid w:val="008C1C06"/>
    <w:rsid w:val="008C1C09"/>
    <w:rsid w:val="008C1C39"/>
    <w:rsid w:val="008C1C67"/>
    <w:rsid w:val="008C1F00"/>
    <w:rsid w:val="008C21C5"/>
    <w:rsid w:val="008C23F9"/>
    <w:rsid w:val="008C24E5"/>
    <w:rsid w:val="008C2696"/>
    <w:rsid w:val="008C283E"/>
    <w:rsid w:val="008C2BF0"/>
    <w:rsid w:val="008C2C40"/>
    <w:rsid w:val="008C2C6B"/>
    <w:rsid w:val="008C2CD1"/>
    <w:rsid w:val="008C3150"/>
    <w:rsid w:val="008C3547"/>
    <w:rsid w:val="008C37C2"/>
    <w:rsid w:val="008C385B"/>
    <w:rsid w:val="008C3B6B"/>
    <w:rsid w:val="008C3BA4"/>
    <w:rsid w:val="008C4132"/>
    <w:rsid w:val="008C4361"/>
    <w:rsid w:val="008C450D"/>
    <w:rsid w:val="008C4513"/>
    <w:rsid w:val="008C456C"/>
    <w:rsid w:val="008C4674"/>
    <w:rsid w:val="008C4808"/>
    <w:rsid w:val="008C4928"/>
    <w:rsid w:val="008C4B10"/>
    <w:rsid w:val="008C4C67"/>
    <w:rsid w:val="008C4E5A"/>
    <w:rsid w:val="008C4F98"/>
    <w:rsid w:val="008C4FD3"/>
    <w:rsid w:val="008C508C"/>
    <w:rsid w:val="008C5166"/>
    <w:rsid w:val="008C51AB"/>
    <w:rsid w:val="008C5841"/>
    <w:rsid w:val="008C5A27"/>
    <w:rsid w:val="008C5A62"/>
    <w:rsid w:val="008C5A7C"/>
    <w:rsid w:val="008C61D1"/>
    <w:rsid w:val="008C644A"/>
    <w:rsid w:val="008C64A4"/>
    <w:rsid w:val="008C6775"/>
    <w:rsid w:val="008C6780"/>
    <w:rsid w:val="008C67B2"/>
    <w:rsid w:val="008C696F"/>
    <w:rsid w:val="008C69BE"/>
    <w:rsid w:val="008C6A6D"/>
    <w:rsid w:val="008C6B40"/>
    <w:rsid w:val="008C6C39"/>
    <w:rsid w:val="008C6E1F"/>
    <w:rsid w:val="008C6F61"/>
    <w:rsid w:val="008C7068"/>
    <w:rsid w:val="008C7160"/>
    <w:rsid w:val="008C7431"/>
    <w:rsid w:val="008C747C"/>
    <w:rsid w:val="008C756E"/>
    <w:rsid w:val="008C771D"/>
    <w:rsid w:val="008C795D"/>
    <w:rsid w:val="008C7A52"/>
    <w:rsid w:val="008C7A9F"/>
    <w:rsid w:val="008C7AC7"/>
    <w:rsid w:val="008C7AD7"/>
    <w:rsid w:val="008C7AE9"/>
    <w:rsid w:val="008C7AEA"/>
    <w:rsid w:val="008C7B33"/>
    <w:rsid w:val="008C7DD6"/>
    <w:rsid w:val="008D012B"/>
    <w:rsid w:val="008D0185"/>
    <w:rsid w:val="008D02DB"/>
    <w:rsid w:val="008D0607"/>
    <w:rsid w:val="008D0733"/>
    <w:rsid w:val="008D0746"/>
    <w:rsid w:val="008D0B2C"/>
    <w:rsid w:val="008D0B3E"/>
    <w:rsid w:val="008D0BC0"/>
    <w:rsid w:val="008D0BCD"/>
    <w:rsid w:val="008D0C5B"/>
    <w:rsid w:val="008D0E9E"/>
    <w:rsid w:val="008D0F1B"/>
    <w:rsid w:val="008D0FF5"/>
    <w:rsid w:val="008D1117"/>
    <w:rsid w:val="008D11D7"/>
    <w:rsid w:val="008D190F"/>
    <w:rsid w:val="008D1A79"/>
    <w:rsid w:val="008D1B64"/>
    <w:rsid w:val="008D1E19"/>
    <w:rsid w:val="008D1ECF"/>
    <w:rsid w:val="008D2227"/>
    <w:rsid w:val="008D22EE"/>
    <w:rsid w:val="008D23D9"/>
    <w:rsid w:val="008D243E"/>
    <w:rsid w:val="008D26A4"/>
    <w:rsid w:val="008D27F2"/>
    <w:rsid w:val="008D2955"/>
    <w:rsid w:val="008D2AB4"/>
    <w:rsid w:val="008D2C4B"/>
    <w:rsid w:val="008D2E2E"/>
    <w:rsid w:val="008D2F40"/>
    <w:rsid w:val="008D2FCF"/>
    <w:rsid w:val="008D305D"/>
    <w:rsid w:val="008D31C3"/>
    <w:rsid w:val="008D3317"/>
    <w:rsid w:val="008D33C0"/>
    <w:rsid w:val="008D3434"/>
    <w:rsid w:val="008D34EC"/>
    <w:rsid w:val="008D38AE"/>
    <w:rsid w:val="008D3995"/>
    <w:rsid w:val="008D3B95"/>
    <w:rsid w:val="008D3D97"/>
    <w:rsid w:val="008D4047"/>
    <w:rsid w:val="008D4061"/>
    <w:rsid w:val="008D4122"/>
    <w:rsid w:val="008D4180"/>
    <w:rsid w:val="008D41AF"/>
    <w:rsid w:val="008D4303"/>
    <w:rsid w:val="008D430F"/>
    <w:rsid w:val="008D434A"/>
    <w:rsid w:val="008D44AD"/>
    <w:rsid w:val="008D44EC"/>
    <w:rsid w:val="008D45C6"/>
    <w:rsid w:val="008D45D7"/>
    <w:rsid w:val="008D4653"/>
    <w:rsid w:val="008D46E7"/>
    <w:rsid w:val="008D470E"/>
    <w:rsid w:val="008D47B3"/>
    <w:rsid w:val="008D4811"/>
    <w:rsid w:val="008D496D"/>
    <w:rsid w:val="008D4AAC"/>
    <w:rsid w:val="008D4D39"/>
    <w:rsid w:val="008D4D4C"/>
    <w:rsid w:val="008D4FA9"/>
    <w:rsid w:val="008D5200"/>
    <w:rsid w:val="008D5309"/>
    <w:rsid w:val="008D5349"/>
    <w:rsid w:val="008D54CE"/>
    <w:rsid w:val="008D554D"/>
    <w:rsid w:val="008D578F"/>
    <w:rsid w:val="008D5861"/>
    <w:rsid w:val="008D5881"/>
    <w:rsid w:val="008D59DF"/>
    <w:rsid w:val="008D5A52"/>
    <w:rsid w:val="008D5AC4"/>
    <w:rsid w:val="008D5B12"/>
    <w:rsid w:val="008D5B58"/>
    <w:rsid w:val="008D5D10"/>
    <w:rsid w:val="008D5DC2"/>
    <w:rsid w:val="008D602A"/>
    <w:rsid w:val="008D61C0"/>
    <w:rsid w:val="008D61F3"/>
    <w:rsid w:val="008D6239"/>
    <w:rsid w:val="008D6263"/>
    <w:rsid w:val="008D63ED"/>
    <w:rsid w:val="008D64CE"/>
    <w:rsid w:val="008D652C"/>
    <w:rsid w:val="008D66FF"/>
    <w:rsid w:val="008D6A58"/>
    <w:rsid w:val="008D6CFB"/>
    <w:rsid w:val="008D6E69"/>
    <w:rsid w:val="008D6F48"/>
    <w:rsid w:val="008D6FFB"/>
    <w:rsid w:val="008D7102"/>
    <w:rsid w:val="008D7515"/>
    <w:rsid w:val="008D75C0"/>
    <w:rsid w:val="008D76EB"/>
    <w:rsid w:val="008D7BAE"/>
    <w:rsid w:val="008D7CE1"/>
    <w:rsid w:val="008D7DEE"/>
    <w:rsid w:val="008D7DFB"/>
    <w:rsid w:val="008E00CC"/>
    <w:rsid w:val="008E02E7"/>
    <w:rsid w:val="008E0439"/>
    <w:rsid w:val="008E0465"/>
    <w:rsid w:val="008E0891"/>
    <w:rsid w:val="008E0A9A"/>
    <w:rsid w:val="008E0B24"/>
    <w:rsid w:val="008E0B99"/>
    <w:rsid w:val="008E0D20"/>
    <w:rsid w:val="008E0DE1"/>
    <w:rsid w:val="008E0EBD"/>
    <w:rsid w:val="008E0F6B"/>
    <w:rsid w:val="008E0FF9"/>
    <w:rsid w:val="008E1380"/>
    <w:rsid w:val="008E1393"/>
    <w:rsid w:val="008E13A3"/>
    <w:rsid w:val="008E15AC"/>
    <w:rsid w:val="008E1672"/>
    <w:rsid w:val="008E17F6"/>
    <w:rsid w:val="008E1816"/>
    <w:rsid w:val="008E189E"/>
    <w:rsid w:val="008E1998"/>
    <w:rsid w:val="008E1D99"/>
    <w:rsid w:val="008E1DC6"/>
    <w:rsid w:val="008E1E8E"/>
    <w:rsid w:val="008E1EDF"/>
    <w:rsid w:val="008E2086"/>
    <w:rsid w:val="008E2208"/>
    <w:rsid w:val="008E2364"/>
    <w:rsid w:val="008E247D"/>
    <w:rsid w:val="008E25DB"/>
    <w:rsid w:val="008E275B"/>
    <w:rsid w:val="008E275E"/>
    <w:rsid w:val="008E27E6"/>
    <w:rsid w:val="008E2B2F"/>
    <w:rsid w:val="008E2BFD"/>
    <w:rsid w:val="008E2D30"/>
    <w:rsid w:val="008E2DA6"/>
    <w:rsid w:val="008E30D3"/>
    <w:rsid w:val="008E3543"/>
    <w:rsid w:val="008E3568"/>
    <w:rsid w:val="008E35D9"/>
    <w:rsid w:val="008E36DA"/>
    <w:rsid w:val="008E3A62"/>
    <w:rsid w:val="008E3B39"/>
    <w:rsid w:val="008E3F6D"/>
    <w:rsid w:val="008E41C6"/>
    <w:rsid w:val="008E41E6"/>
    <w:rsid w:val="008E4206"/>
    <w:rsid w:val="008E45D8"/>
    <w:rsid w:val="008E467B"/>
    <w:rsid w:val="008E47CB"/>
    <w:rsid w:val="008E4A0A"/>
    <w:rsid w:val="008E4B34"/>
    <w:rsid w:val="008E4CE0"/>
    <w:rsid w:val="008E51D1"/>
    <w:rsid w:val="008E520F"/>
    <w:rsid w:val="008E52C6"/>
    <w:rsid w:val="008E52F4"/>
    <w:rsid w:val="008E52FA"/>
    <w:rsid w:val="008E54FA"/>
    <w:rsid w:val="008E55F9"/>
    <w:rsid w:val="008E59F5"/>
    <w:rsid w:val="008E5AB6"/>
    <w:rsid w:val="008E5AE5"/>
    <w:rsid w:val="008E5D3C"/>
    <w:rsid w:val="008E5DC4"/>
    <w:rsid w:val="008E5E05"/>
    <w:rsid w:val="008E5E87"/>
    <w:rsid w:val="008E5F75"/>
    <w:rsid w:val="008E60C5"/>
    <w:rsid w:val="008E60D5"/>
    <w:rsid w:val="008E640A"/>
    <w:rsid w:val="008E65BA"/>
    <w:rsid w:val="008E661F"/>
    <w:rsid w:val="008E6821"/>
    <w:rsid w:val="008E6A74"/>
    <w:rsid w:val="008E6B86"/>
    <w:rsid w:val="008E6C2D"/>
    <w:rsid w:val="008E6D0F"/>
    <w:rsid w:val="008E6D44"/>
    <w:rsid w:val="008E6E76"/>
    <w:rsid w:val="008E7074"/>
    <w:rsid w:val="008E71A8"/>
    <w:rsid w:val="008E7291"/>
    <w:rsid w:val="008E759E"/>
    <w:rsid w:val="008E76FB"/>
    <w:rsid w:val="008E7756"/>
    <w:rsid w:val="008E79BD"/>
    <w:rsid w:val="008E7C55"/>
    <w:rsid w:val="008E7D96"/>
    <w:rsid w:val="008E7E08"/>
    <w:rsid w:val="008E7E4E"/>
    <w:rsid w:val="008F01ED"/>
    <w:rsid w:val="008F025D"/>
    <w:rsid w:val="008F02E6"/>
    <w:rsid w:val="008F033E"/>
    <w:rsid w:val="008F0411"/>
    <w:rsid w:val="008F0466"/>
    <w:rsid w:val="008F0501"/>
    <w:rsid w:val="008F052B"/>
    <w:rsid w:val="008F065C"/>
    <w:rsid w:val="008F06BD"/>
    <w:rsid w:val="008F0780"/>
    <w:rsid w:val="008F07A2"/>
    <w:rsid w:val="008F0892"/>
    <w:rsid w:val="008F08AE"/>
    <w:rsid w:val="008F0901"/>
    <w:rsid w:val="008F0BE2"/>
    <w:rsid w:val="008F0C1D"/>
    <w:rsid w:val="008F0D25"/>
    <w:rsid w:val="008F10B4"/>
    <w:rsid w:val="008F1384"/>
    <w:rsid w:val="008F183B"/>
    <w:rsid w:val="008F1ABD"/>
    <w:rsid w:val="008F1E32"/>
    <w:rsid w:val="008F1F8C"/>
    <w:rsid w:val="008F1FA4"/>
    <w:rsid w:val="008F20E2"/>
    <w:rsid w:val="008F23A1"/>
    <w:rsid w:val="008F256C"/>
    <w:rsid w:val="008F277B"/>
    <w:rsid w:val="008F27CB"/>
    <w:rsid w:val="008F27D2"/>
    <w:rsid w:val="008F28D6"/>
    <w:rsid w:val="008F2939"/>
    <w:rsid w:val="008F2A26"/>
    <w:rsid w:val="008F2B40"/>
    <w:rsid w:val="008F2B90"/>
    <w:rsid w:val="008F2C05"/>
    <w:rsid w:val="008F2C35"/>
    <w:rsid w:val="008F2D8F"/>
    <w:rsid w:val="008F2DCD"/>
    <w:rsid w:val="008F2E8C"/>
    <w:rsid w:val="008F2FB4"/>
    <w:rsid w:val="008F3274"/>
    <w:rsid w:val="008F35C2"/>
    <w:rsid w:val="008F3652"/>
    <w:rsid w:val="008F3780"/>
    <w:rsid w:val="008F382C"/>
    <w:rsid w:val="008F3851"/>
    <w:rsid w:val="008F3A7E"/>
    <w:rsid w:val="008F3AF1"/>
    <w:rsid w:val="008F3C89"/>
    <w:rsid w:val="008F3CCE"/>
    <w:rsid w:val="008F3D58"/>
    <w:rsid w:val="008F3E93"/>
    <w:rsid w:val="008F4367"/>
    <w:rsid w:val="008F44AF"/>
    <w:rsid w:val="008F44C7"/>
    <w:rsid w:val="008F44C8"/>
    <w:rsid w:val="008F45D0"/>
    <w:rsid w:val="008F4895"/>
    <w:rsid w:val="008F48C0"/>
    <w:rsid w:val="008F4BBA"/>
    <w:rsid w:val="008F4D85"/>
    <w:rsid w:val="008F4DAB"/>
    <w:rsid w:val="008F4EE8"/>
    <w:rsid w:val="008F4F6D"/>
    <w:rsid w:val="008F4F94"/>
    <w:rsid w:val="008F5249"/>
    <w:rsid w:val="008F52AB"/>
    <w:rsid w:val="008F52F9"/>
    <w:rsid w:val="008F53AE"/>
    <w:rsid w:val="008F5539"/>
    <w:rsid w:val="008F582E"/>
    <w:rsid w:val="008F5A28"/>
    <w:rsid w:val="008F5ADC"/>
    <w:rsid w:val="008F5BBC"/>
    <w:rsid w:val="008F5CBA"/>
    <w:rsid w:val="008F5E71"/>
    <w:rsid w:val="008F5EA4"/>
    <w:rsid w:val="008F5EEF"/>
    <w:rsid w:val="008F6011"/>
    <w:rsid w:val="008F6421"/>
    <w:rsid w:val="008F655C"/>
    <w:rsid w:val="008F662B"/>
    <w:rsid w:val="008F673A"/>
    <w:rsid w:val="008F6990"/>
    <w:rsid w:val="008F69A3"/>
    <w:rsid w:val="008F6A37"/>
    <w:rsid w:val="008F6B8F"/>
    <w:rsid w:val="008F6CCC"/>
    <w:rsid w:val="008F6CD4"/>
    <w:rsid w:val="008F6E1C"/>
    <w:rsid w:val="008F6EDE"/>
    <w:rsid w:val="008F7022"/>
    <w:rsid w:val="008F7541"/>
    <w:rsid w:val="008F75E2"/>
    <w:rsid w:val="008F7A51"/>
    <w:rsid w:val="008F7A6C"/>
    <w:rsid w:val="008F7B99"/>
    <w:rsid w:val="008F7C2D"/>
    <w:rsid w:val="008FDC25"/>
    <w:rsid w:val="00900010"/>
    <w:rsid w:val="0090022C"/>
    <w:rsid w:val="009003CB"/>
    <w:rsid w:val="009003DF"/>
    <w:rsid w:val="00900440"/>
    <w:rsid w:val="009005D8"/>
    <w:rsid w:val="00900830"/>
    <w:rsid w:val="009008DD"/>
    <w:rsid w:val="00900938"/>
    <w:rsid w:val="0090095F"/>
    <w:rsid w:val="00900980"/>
    <w:rsid w:val="00900A2D"/>
    <w:rsid w:val="00900B6C"/>
    <w:rsid w:val="00900B7F"/>
    <w:rsid w:val="00900CC8"/>
    <w:rsid w:val="00900CCB"/>
    <w:rsid w:val="00900D81"/>
    <w:rsid w:val="00900D9C"/>
    <w:rsid w:val="00900DCF"/>
    <w:rsid w:val="00900E01"/>
    <w:rsid w:val="00900FF7"/>
    <w:rsid w:val="00901026"/>
    <w:rsid w:val="00901210"/>
    <w:rsid w:val="0090136F"/>
    <w:rsid w:val="0090139B"/>
    <w:rsid w:val="00901457"/>
    <w:rsid w:val="0090156C"/>
    <w:rsid w:val="0090186E"/>
    <w:rsid w:val="00901B0D"/>
    <w:rsid w:val="00901C64"/>
    <w:rsid w:val="00901CE5"/>
    <w:rsid w:val="00901D14"/>
    <w:rsid w:val="00901E72"/>
    <w:rsid w:val="00901EA2"/>
    <w:rsid w:val="0090203B"/>
    <w:rsid w:val="00902112"/>
    <w:rsid w:val="00902866"/>
    <w:rsid w:val="00902C7E"/>
    <w:rsid w:val="00902D43"/>
    <w:rsid w:val="009030D4"/>
    <w:rsid w:val="0090312F"/>
    <w:rsid w:val="009032F3"/>
    <w:rsid w:val="00903335"/>
    <w:rsid w:val="00903415"/>
    <w:rsid w:val="00903487"/>
    <w:rsid w:val="00903488"/>
    <w:rsid w:val="0090377D"/>
    <w:rsid w:val="0090377E"/>
    <w:rsid w:val="009037D3"/>
    <w:rsid w:val="00903839"/>
    <w:rsid w:val="00903A3E"/>
    <w:rsid w:val="00903C56"/>
    <w:rsid w:val="00903CF0"/>
    <w:rsid w:val="00903E93"/>
    <w:rsid w:val="00903FDD"/>
    <w:rsid w:val="009040EE"/>
    <w:rsid w:val="009042A7"/>
    <w:rsid w:val="00904376"/>
    <w:rsid w:val="00904496"/>
    <w:rsid w:val="00904672"/>
    <w:rsid w:val="0090469A"/>
    <w:rsid w:val="0090481D"/>
    <w:rsid w:val="0090481F"/>
    <w:rsid w:val="009048AE"/>
    <w:rsid w:val="00904A03"/>
    <w:rsid w:val="00904BA4"/>
    <w:rsid w:val="00904C5F"/>
    <w:rsid w:val="00904DCB"/>
    <w:rsid w:val="00904E18"/>
    <w:rsid w:val="00904E52"/>
    <w:rsid w:val="00904E72"/>
    <w:rsid w:val="00904EC9"/>
    <w:rsid w:val="00904F73"/>
    <w:rsid w:val="00905160"/>
    <w:rsid w:val="00905202"/>
    <w:rsid w:val="00905223"/>
    <w:rsid w:val="00905254"/>
    <w:rsid w:val="009053E5"/>
    <w:rsid w:val="00905487"/>
    <w:rsid w:val="00905669"/>
    <w:rsid w:val="0090591E"/>
    <w:rsid w:val="00905A2D"/>
    <w:rsid w:val="00905AA6"/>
    <w:rsid w:val="00905D16"/>
    <w:rsid w:val="00905F19"/>
    <w:rsid w:val="00906036"/>
    <w:rsid w:val="0090603A"/>
    <w:rsid w:val="00906057"/>
    <w:rsid w:val="009060A5"/>
    <w:rsid w:val="00906102"/>
    <w:rsid w:val="00906143"/>
    <w:rsid w:val="009061B6"/>
    <w:rsid w:val="0090621A"/>
    <w:rsid w:val="00906300"/>
    <w:rsid w:val="009063AF"/>
    <w:rsid w:val="00906412"/>
    <w:rsid w:val="00906551"/>
    <w:rsid w:val="0090657F"/>
    <w:rsid w:val="009067C8"/>
    <w:rsid w:val="00906805"/>
    <w:rsid w:val="00906945"/>
    <w:rsid w:val="009069DB"/>
    <w:rsid w:val="00906ABD"/>
    <w:rsid w:val="00906D63"/>
    <w:rsid w:val="00906DC1"/>
    <w:rsid w:val="00906F56"/>
    <w:rsid w:val="00906FA1"/>
    <w:rsid w:val="009070A6"/>
    <w:rsid w:val="009070BC"/>
    <w:rsid w:val="009071E7"/>
    <w:rsid w:val="009073FE"/>
    <w:rsid w:val="00907436"/>
    <w:rsid w:val="00907548"/>
    <w:rsid w:val="0090766A"/>
    <w:rsid w:val="00907691"/>
    <w:rsid w:val="0090771E"/>
    <w:rsid w:val="0090771F"/>
    <w:rsid w:val="00907738"/>
    <w:rsid w:val="00907AC7"/>
    <w:rsid w:val="00907B5F"/>
    <w:rsid w:val="00907B78"/>
    <w:rsid w:val="00907B82"/>
    <w:rsid w:val="00907BCE"/>
    <w:rsid w:val="00907C8D"/>
    <w:rsid w:val="00907D44"/>
    <w:rsid w:val="00907DA8"/>
    <w:rsid w:val="00907E95"/>
    <w:rsid w:val="00907FBB"/>
    <w:rsid w:val="009100E9"/>
    <w:rsid w:val="009103EC"/>
    <w:rsid w:val="00910462"/>
    <w:rsid w:val="00910489"/>
    <w:rsid w:val="009104B9"/>
    <w:rsid w:val="00910589"/>
    <w:rsid w:val="00910692"/>
    <w:rsid w:val="0091071A"/>
    <w:rsid w:val="009107A1"/>
    <w:rsid w:val="009108CA"/>
    <w:rsid w:val="00910A45"/>
    <w:rsid w:val="00910ACD"/>
    <w:rsid w:val="00910B0B"/>
    <w:rsid w:val="00910BFA"/>
    <w:rsid w:val="00910C04"/>
    <w:rsid w:val="00910C08"/>
    <w:rsid w:val="00910C62"/>
    <w:rsid w:val="00910D4A"/>
    <w:rsid w:val="00910D7C"/>
    <w:rsid w:val="0091109B"/>
    <w:rsid w:val="00911332"/>
    <w:rsid w:val="009113E6"/>
    <w:rsid w:val="00911A50"/>
    <w:rsid w:val="00911B3F"/>
    <w:rsid w:val="00911E52"/>
    <w:rsid w:val="00911F51"/>
    <w:rsid w:val="00911F6D"/>
    <w:rsid w:val="00911FB7"/>
    <w:rsid w:val="0091243E"/>
    <w:rsid w:val="0091249C"/>
    <w:rsid w:val="0091269C"/>
    <w:rsid w:val="009127FC"/>
    <w:rsid w:val="00912818"/>
    <w:rsid w:val="00912966"/>
    <w:rsid w:val="00912A17"/>
    <w:rsid w:val="00912B59"/>
    <w:rsid w:val="00912C48"/>
    <w:rsid w:val="00912C77"/>
    <w:rsid w:val="00912D4F"/>
    <w:rsid w:val="00912DAB"/>
    <w:rsid w:val="00912DFB"/>
    <w:rsid w:val="00912FF8"/>
    <w:rsid w:val="009133A0"/>
    <w:rsid w:val="00913449"/>
    <w:rsid w:val="0091354B"/>
    <w:rsid w:val="00913677"/>
    <w:rsid w:val="009137A4"/>
    <w:rsid w:val="009139A1"/>
    <w:rsid w:val="00913C56"/>
    <w:rsid w:val="00913D67"/>
    <w:rsid w:val="00913E33"/>
    <w:rsid w:val="00913ED4"/>
    <w:rsid w:val="00913F6D"/>
    <w:rsid w:val="00913FF9"/>
    <w:rsid w:val="00914080"/>
    <w:rsid w:val="009140B3"/>
    <w:rsid w:val="00914318"/>
    <w:rsid w:val="0091442C"/>
    <w:rsid w:val="00914700"/>
    <w:rsid w:val="0091484D"/>
    <w:rsid w:val="009149EB"/>
    <w:rsid w:val="00914A80"/>
    <w:rsid w:val="00914AA0"/>
    <w:rsid w:val="00914ADF"/>
    <w:rsid w:val="00914B5D"/>
    <w:rsid w:val="00914BB4"/>
    <w:rsid w:val="00914CB2"/>
    <w:rsid w:val="00914CCF"/>
    <w:rsid w:val="00914E18"/>
    <w:rsid w:val="00915268"/>
    <w:rsid w:val="00915768"/>
    <w:rsid w:val="00915982"/>
    <w:rsid w:val="00915C18"/>
    <w:rsid w:val="00915DC0"/>
    <w:rsid w:val="00915E1B"/>
    <w:rsid w:val="00915E77"/>
    <w:rsid w:val="00915EF5"/>
    <w:rsid w:val="009160A6"/>
    <w:rsid w:val="0091627E"/>
    <w:rsid w:val="00916A9F"/>
    <w:rsid w:val="00916BAF"/>
    <w:rsid w:val="00916C0B"/>
    <w:rsid w:val="00916CAC"/>
    <w:rsid w:val="00916ED8"/>
    <w:rsid w:val="009170EE"/>
    <w:rsid w:val="0091724F"/>
    <w:rsid w:val="0091737E"/>
    <w:rsid w:val="00917501"/>
    <w:rsid w:val="00917565"/>
    <w:rsid w:val="00917A3B"/>
    <w:rsid w:val="00917D3C"/>
    <w:rsid w:val="00917EF3"/>
    <w:rsid w:val="00917F22"/>
    <w:rsid w:val="00917F9E"/>
    <w:rsid w:val="00920154"/>
    <w:rsid w:val="009201CB"/>
    <w:rsid w:val="009203FD"/>
    <w:rsid w:val="009206CE"/>
    <w:rsid w:val="00920740"/>
    <w:rsid w:val="009208FD"/>
    <w:rsid w:val="00920949"/>
    <w:rsid w:val="00920A94"/>
    <w:rsid w:val="00920E7D"/>
    <w:rsid w:val="00920F1F"/>
    <w:rsid w:val="00921003"/>
    <w:rsid w:val="00921020"/>
    <w:rsid w:val="00921158"/>
    <w:rsid w:val="00921159"/>
    <w:rsid w:val="00921429"/>
    <w:rsid w:val="00921473"/>
    <w:rsid w:val="00921521"/>
    <w:rsid w:val="00921676"/>
    <w:rsid w:val="00921AFB"/>
    <w:rsid w:val="00921BC8"/>
    <w:rsid w:val="00921C49"/>
    <w:rsid w:val="00921CB3"/>
    <w:rsid w:val="00921D19"/>
    <w:rsid w:val="00921E18"/>
    <w:rsid w:val="00921E8B"/>
    <w:rsid w:val="00921FBB"/>
    <w:rsid w:val="009220AE"/>
    <w:rsid w:val="00922296"/>
    <w:rsid w:val="009223B5"/>
    <w:rsid w:val="009223CC"/>
    <w:rsid w:val="009224DF"/>
    <w:rsid w:val="00922580"/>
    <w:rsid w:val="00922636"/>
    <w:rsid w:val="009226CB"/>
    <w:rsid w:val="00922745"/>
    <w:rsid w:val="009229CA"/>
    <w:rsid w:val="00923070"/>
    <w:rsid w:val="00923415"/>
    <w:rsid w:val="00923563"/>
    <w:rsid w:val="00923A6B"/>
    <w:rsid w:val="00923A9E"/>
    <w:rsid w:val="00923BA5"/>
    <w:rsid w:val="00923E0B"/>
    <w:rsid w:val="00923FAC"/>
    <w:rsid w:val="00923FB4"/>
    <w:rsid w:val="00923FC4"/>
    <w:rsid w:val="009240FD"/>
    <w:rsid w:val="00924155"/>
    <w:rsid w:val="009244D7"/>
    <w:rsid w:val="00924713"/>
    <w:rsid w:val="00924865"/>
    <w:rsid w:val="00924DB9"/>
    <w:rsid w:val="009251BA"/>
    <w:rsid w:val="0092535E"/>
    <w:rsid w:val="009254BB"/>
    <w:rsid w:val="009254FC"/>
    <w:rsid w:val="009256C7"/>
    <w:rsid w:val="0092581A"/>
    <w:rsid w:val="00925899"/>
    <w:rsid w:val="009258E5"/>
    <w:rsid w:val="00925A2A"/>
    <w:rsid w:val="00926021"/>
    <w:rsid w:val="00926065"/>
    <w:rsid w:val="009260E4"/>
    <w:rsid w:val="00926243"/>
    <w:rsid w:val="0092627B"/>
    <w:rsid w:val="00926297"/>
    <w:rsid w:val="009262E6"/>
    <w:rsid w:val="009262FF"/>
    <w:rsid w:val="0092635A"/>
    <w:rsid w:val="009266BA"/>
    <w:rsid w:val="009267D9"/>
    <w:rsid w:val="00926914"/>
    <w:rsid w:val="00926AE8"/>
    <w:rsid w:val="00926B78"/>
    <w:rsid w:val="00926CB3"/>
    <w:rsid w:val="00926D29"/>
    <w:rsid w:val="0092708F"/>
    <w:rsid w:val="0092715E"/>
    <w:rsid w:val="00927188"/>
    <w:rsid w:val="00927289"/>
    <w:rsid w:val="00927310"/>
    <w:rsid w:val="00927786"/>
    <w:rsid w:val="00927878"/>
    <w:rsid w:val="009279C3"/>
    <w:rsid w:val="00927AF3"/>
    <w:rsid w:val="00927CE3"/>
    <w:rsid w:val="00927D85"/>
    <w:rsid w:val="00927DA9"/>
    <w:rsid w:val="00927DD1"/>
    <w:rsid w:val="00927EAD"/>
    <w:rsid w:val="00927EB4"/>
    <w:rsid w:val="0093007A"/>
    <w:rsid w:val="00930135"/>
    <w:rsid w:val="00930554"/>
    <w:rsid w:val="0093056D"/>
    <w:rsid w:val="00930D9D"/>
    <w:rsid w:val="00931168"/>
    <w:rsid w:val="009311C0"/>
    <w:rsid w:val="009312FA"/>
    <w:rsid w:val="00931318"/>
    <w:rsid w:val="0093134C"/>
    <w:rsid w:val="009313F6"/>
    <w:rsid w:val="00931421"/>
    <w:rsid w:val="00931427"/>
    <w:rsid w:val="0093160C"/>
    <w:rsid w:val="009316C9"/>
    <w:rsid w:val="00931909"/>
    <w:rsid w:val="009319F8"/>
    <w:rsid w:val="00931A1E"/>
    <w:rsid w:val="00931A8C"/>
    <w:rsid w:val="00931E4B"/>
    <w:rsid w:val="00931E8A"/>
    <w:rsid w:val="00931FCD"/>
    <w:rsid w:val="0093228B"/>
    <w:rsid w:val="00932390"/>
    <w:rsid w:val="00932A5A"/>
    <w:rsid w:val="00932ADD"/>
    <w:rsid w:val="00932C37"/>
    <w:rsid w:val="00932C38"/>
    <w:rsid w:val="00932C6A"/>
    <w:rsid w:val="00932D54"/>
    <w:rsid w:val="00932D94"/>
    <w:rsid w:val="00932E14"/>
    <w:rsid w:val="00932F44"/>
    <w:rsid w:val="009330CA"/>
    <w:rsid w:val="009332D5"/>
    <w:rsid w:val="0093335C"/>
    <w:rsid w:val="00933406"/>
    <w:rsid w:val="00933496"/>
    <w:rsid w:val="009335FA"/>
    <w:rsid w:val="009338F2"/>
    <w:rsid w:val="00933928"/>
    <w:rsid w:val="00933933"/>
    <w:rsid w:val="0093398F"/>
    <w:rsid w:val="00933C34"/>
    <w:rsid w:val="00933DC7"/>
    <w:rsid w:val="00933FE6"/>
    <w:rsid w:val="009341C1"/>
    <w:rsid w:val="009341DB"/>
    <w:rsid w:val="009341E8"/>
    <w:rsid w:val="009342A5"/>
    <w:rsid w:val="009343A6"/>
    <w:rsid w:val="00934536"/>
    <w:rsid w:val="009346C3"/>
    <w:rsid w:val="009347CB"/>
    <w:rsid w:val="009349C5"/>
    <w:rsid w:val="00934A9B"/>
    <w:rsid w:val="00934C44"/>
    <w:rsid w:val="00934E8F"/>
    <w:rsid w:val="00934FAC"/>
    <w:rsid w:val="00935031"/>
    <w:rsid w:val="00935556"/>
    <w:rsid w:val="00935642"/>
    <w:rsid w:val="00935848"/>
    <w:rsid w:val="009358B3"/>
    <w:rsid w:val="0093596A"/>
    <w:rsid w:val="009359B4"/>
    <w:rsid w:val="009359D1"/>
    <w:rsid w:val="00935A33"/>
    <w:rsid w:val="00935B84"/>
    <w:rsid w:val="00935CBF"/>
    <w:rsid w:val="00935DA7"/>
    <w:rsid w:val="00935EBC"/>
    <w:rsid w:val="009362A5"/>
    <w:rsid w:val="009362E8"/>
    <w:rsid w:val="0093641B"/>
    <w:rsid w:val="00936456"/>
    <w:rsid w:val="00936495"/>
    <w:rsid w:val="0093650F"/>
    <w:rsid w:val="0093658E"/>
    <w:rsid w:val="0093666E"/>
    <w:rsid w:val="00936814"/>
    <w:rsid w:val="009369BE"/>
    <w:rsid w:val="00936B3D"/>
    <w:rsid w:val="00936BA2"/>
    <w:rsid w:val="00936BD3"/>
    <w:rsid w:val="00936F97"/>
    <w:rsid w:val="009370A2"/>
    <w:rsid w:val="009370DC"/>
    <w:rsid w:val="00937112"/>
    <w:rsid w:val="00937325"/>
    <w:rsid w:val="00937414"/>
    <w:rsid w:val="009376DE"/>
    <w:rsid w:val="009378F6"/>
    <w:rsid w:val="00937988"/>
    <w:rsid w:val="00937BA5"/>
    <w:rsid w:val="00937BB6"/>
    <w:rsid w:val="00937CB4"/>
    <w:rsid w:val="00937E36"/>
    <w:rsid w:val="00937F8F"/>
    <w:rsid w:val="00937FC2"/>
    <w:rsid w:val="00940097"/>
    <w:rsid w:val="00940145"/>
    <w:rsid w:val="0094042E"/>
    <w:rsid w:val="00940614"/>
    <w:rsid w:val="00940957"/>
    <w:rsid w:val="00940A14"/>
    <w:rsid w:val="00940A35"/>
    <w:rsid w:val="00940B34"/>
    <w:rsid w:val="00940B86"/>
    <w:rsid w:val="00940CA3"/>
    <w:rsid w:val="00940FEA"/>
    <w:rsid w:val="00941350"/>
    <w:rsid w:val="009413DE"/>
    <w:rsid w:val="009416A6"/>
    <w:rsid w:val="00941723"/>
    <w:rsid w:val="00941868"/>
    <w:rsid w:val="009418BF"/>
    <w:rsid w:val="009419CF"/>
    <w:rsid w:val="00941ABF"/>
    <w:rsid w:val="00941CC6"/>
    <w:rsid w:val="00941D83"/>
    <w:rsid w:val="00941E68"/>
    <w:rsid w:val="00941FE3"/>
    <w:rsid w:val="0094232D"/>
    <w:rsid w:val="009423D8"/>
    <w:rsid w:val="009424CB"/>
    <w:rsid w:val="009426A2"/>
    <w:rsid w:val="0094277C"/>
    <w:rsid w:val="00942B49"/>
    <w:rsid w:val="00942D32"/>
    <w:rsid w:val="00942D94"/>
    <w:rsid w:val="00943073"/>
    <w:rsid w:val="009430D3"/>
    <w:rsid w:val="009432E0"/>
    <w:rsid w:val="009434E8"/>
    <w:rsid w:val="00943743"/>
    <w:rsid w:val="00943BA9"/>
    <w:rsid w:val="00943C13"/>
    <w:rsid w:val="00943C2E"/>
    <w:rsid w:val="00943CBE"/>
    <w:rsid w:val="00943D2C"/>
    <w:rsid w:val="00943DC8"/>
    <w:rsid w:val="00943E8A"/>
    <w:rsid w:val="009444A3"/>
    <w:rsid w:val="0094460C"/>
    <w:rsid w:val="00944C9E"/>
    <w:rsid w:val="00944CD7"/>
    <w:rsid w:val="00944CDF"/>
    <w:rsid w:val="00944E64"/>
    <w:rsid w:val="00944F4E"/>
    <w:rsid w:val="0094511C"/>
    <w:rsid w:val="009452CE"/>
    <w:rsid w:val="0094539D"/>
    <w:rsid w:val="00945578"/>
    <w:rsid w:val="009455E4"/>
    <w:rsid w:val="009458A7"/>
    <w:rsid w:val="00945CFF"/>
    <w:rsid w:val="00945E7B"/>
    <w:rsid w:val="00945F1C"/>
    <w:rsid w:val="00945F62"/>
    <w:rsid w:val="0094612C"/>
    <w:rsid w:val="00946153"/>
    <w:rsid w:val="00946177"/>
    <w:rsid w:val="009462EF"/>
    <w:rsid w:val="0094647B"/>
    <w:rsid w:val="0094664D"/>
    <w:rsid w:val="009467C8"/>
    <w:rsid w:val="009468C8"/>
    <w:rsid w:val="0094697A"/>
    <w:rsid w:val="00947174"/>
    <w:rsid w:val="009471C9"/>
    <w:rsid w:val="00947204"/>
    <w:rsid w:val="009473E1"/>
    <w:rsid w:val="0094749E"/>
    <w:rsid w:val="009474EB"/>
    <w:rsid w:val="009476FE"/>
    <w:rsid w:val="00947BAA"/>
    <w:rsid w:val="00947C2C"/>
    <w:rsid w:val="00947D2A"/>
    <w:rsid w:val="00947EBE"/>
    <w:rsid w:val="00947FA1"/>
    <w:rsid w:val="009500FC"/>
    <w:rsid w:val="0095062A"/>
    <w:rsid w:val="00950690"/>
    <w:rsid w:val="00950738"/>
    <w:rsid w:val="009508C0"/>
    <w:rsid w:val="00950A38"/>
    <w:rsid w:val="009511C9"/>
    <w:rsid w:val="00951344"/>
    <w:rsid w:val="009514DA"/>
    <w:rsid w:val="00951573"/>
    <w:rsid w:val="00951606"/>
    <w:rsid w:val="009517FB"/>
    <w:rsid w:val="00951966"/>
    <w:rsid w:val="009519F4"/>
    <w:rsid w:val="00951D28"/>
    <w:rsid w:val="00951D39"/>
    <w:rsid w:val="00951D78"/>
    <w:rsid w:val="00951F19"/>
    <w:rsid w:val="00951FC5"/>
    <w:rsid w:val="00952059"/>
    <w:rsid w:val="00952365"/>
    <w:rsid w:val="009526B2"/>
    <w:rsid w:val="00952734"/>
    <w:rsid w:val="00952A15"/>
    <w:rsid w:val="00952A43"/>
    <w:rsid w:val="00952F47"/>
    <w:rsid w:val="0095307D"/>
    <w:rsid w:val="0095330B"/>
    <w:rsid w:val="00953486"/>
    <w:rsid w:val="0095364F"/>
    <w:rsid w:val="009537FA"/>
    <w:rsid w:val="00953852"/>
    <w:rsid w:val="00953931"/>
    <w:rsid w:val="00953A05"/>
    <w:rsid w:val="00953A5F"/>
    <w:rsid w:val="00953AB1"/>
    <w:rsid w:val="00953B4E"/>
    <w:rsid w:val="00953C5E"/>
    <w:rsid w:val="00953E09"/>
    <w:rsid w:val="009541B3"/>
    <w:rsid w:val="00954264"/>
    <w:rsid w:val="00954420"/>
    <w:rsid w:val="00954526"/>
    <w:rsid w:val="00954530"/>
    <w:rsid w:val="0095490D"/>
    <w:rsid w:val="009549F7"/>
    <w:rsid w:val="00954A0C"/>
    <w:rsid w:val="00954A84"/>
    <w:rsid w:val="00954B41"/>
    <w:rsid w:val="00954BC6"/>
    <w:rsid w:val="00954C81"/>
    <w:rsid w:val="00954CDD"/>
    <w:rsid w:val="00954D42"/>
    <w:rsid w:val="00954D8C"/>
    <w:rsid w:val="00954F78"/>
    <w:rsid w:val="0095506D"/>
    <w:rsid w:val="009551D3"/>
    <w:rsid w:val="00955312"/>
    <w:rsid w:val="009554BA"/>
    <w:rsid w:val="00955521"/>
    <w:rsid w:val="0095570A"/>
    <w:rsid w:val="009557A2"/>
    <w:rsid w:val="00955B07"/>
    <w:rsid w:val="00955C8A"/>
    <w:rsid w:val="00955D01"/>
    <w:rsid w:val="00955DED"/>
    <w:rsid w:val="0095612B"/>
    <w:rsid w:val="0095624A"/>
    <w:rsid w:val="00956316"/>
    <w:rsid w:val="009563F4"/>
    <w:rsid w:val="009568E4"/>
    <w:rsid w:val="0095690A"/>
    <w:rsid w:val="00956954"/>
    <w:rsid w:val="00956C62"/>
    <w:rsid w:val="00956E3E"/>
    <w:rsid w:val="00957108"/>
    <w:rsid w:val="00957247"/>
    <w:rsid w:val="00957513"/>
    <w:rsid w:val="009575B9"/>
    <w:rsid w:val="00957716"/>
    <w:rsid w:val="00957E41"/>
    <w:rsid w:val="00957E66"/>
    <w:rsid w:val="00957E68"/>
    <w:rsid w:val="00957F58"/>
    <w:rsid w:val="00957F87"/>
    <w:rsid w:val="0096001A"/>
    <w:rsid w:val="0096010B"/>
    <w:rsid w:val="009601B3"/>
    <w:rsid w:val="0096023B"/>
    <w:rsid w:val="0096090F"/>
    <w:rsid w:val="009609AF"/>
    <w:rsid w:val="00960B68"/>
    <w:rsid w:val="00960C57"/>
    <w:rsid w:val="00960CC9"/>
    <w:rsid w:val="009610E2"/>
    <w:rsid w:val="009611FE"/>
    <w:rsid w:val="0096130A"/>
    <w:rsid w:val="0096132B"/>
    <w:rsid w:val="009613F2"/>
    <w:rsid w:val="0096152A"/>
    <w:rsid w:val="00961961"/>
    <w:rsid w:val="00961D6D"/>
    <w:rsid w:val="00961E47"/>
    <w:rsid w:val="00961F25"/>
    <w:rsid w:val="00961FBE"/>
    <w:rsid w:val="009622C0"/>
    <w:rsid w:val="00962329"/>
    <w:rsid w:val="009623E4"/>
    <w:rsid w:val="009624B8"/>
    <w:rsid w:val="00962593"/>
    <w:rsid w:val="0096260A"/>
    <w:rsid w:val="009626A4"/>
    <w:rsid w:val="0096292E"/>
    <w:rsid w:val="00962B1B"/>
    <w:rsid w:val="00962CC9"/>
    <w:rsid w:val="00962CCA"/>
    <w:rsid w:val="00962CFD"/>
    <w:rsid w:val="00962DA3"/>
    <w:rsid w:val="00962DAF"/>
    <w:rsid w:val="00962FA1"/>
    <w:rsid w:val="0096302B"/>
    <w:rsid w:val="009631D1"/>
    <w:rsid w:val="0096336C"/>
    <w:rsid w:val="009635FB"/>
    <w:rsid w:val="00963700"/>
    <w:rsid w:val="00963A29"/>
    <w:rsid w:val="00963DAA"/>
    <w:rsid w:val="00963DFE"/>
    <w:rsid w:val="00963E4A"/>
    <w:rsid w:val="00963EF6"/>
    <w:rsid w:val="009643DB"/>
    <w:rsid w:val="0096446F"/>
    <w:rsid w:val="009644DC"/>
    <w:rsid w:val="0096451D"/>
    <w:rsid w:val="00964540"/>
    <w:rsid w:val="009646B9"/>
    <w:rsid w:val="009647BA"/>
    <w:rsid w:val="009647ED"/>
    <w:rsid w:val="00964963"/>
    <w:rsid w:val="00964A93"/>
    <w:rsid w:val="00964AD5"/>
    <w:rsid w:val="00964ADC"/>
    <w:rsid w:val="00964F1E"/>
    <w:rsid w:val="0096519E"/>
    <w:rsid w:val="009652EB"/>
    <w:rsid w:val="0096540D"/>
    <w:rsid w:val="0096547B"/>
    <w:rsid w:val="009656B5"/>
    <w:rsid w:val="009656B9"/>
    <w:rsid w:val="0096573E"/>
    <w:rsid w:val="009658B9"/>
    <w:rsid w:val="009658C4"/>
    <w:rsid w:val="0096598A"/>
    <w:rsid w:val="009659C5"/>
    <w:rsid w:val="00965C40"/>
    <w:rsid w:val="00965C99"/>
    <w:rsid w:val="00965D18"/>
    <w:rsid w:val="00965F20"/>
    <w:rsid w:val="009660AA"/>
    <w:rsid w:val="009660C9"/>
    <w:rsid w:val="00966182"/>
    <w:rsid w:val="009661AD"/>
    <w:rsid w:val="009662C4"/>
    <w:rsid w:val="009662D5"/>
    <w:rsid w:val="00966362"/>
    <w:rsid w:val="00966DC0"/>
    <w:rsid w:val="00967021"/>
    <w:rsid w:val="00967073"/>
    <w:rsid w:val="009670F7"/>
    <w:rsid w:val="00967183"/>
    <w:rsid w:val="00967191"/>
    <w:rsid w:val="0096747A"/>
    <w:rsid w:val="0096751E"/>
    <w:rsid w:val="00967580"/>
    <w:rsid w:val="009675D8"/>
    <w:rsid w:val="009676A9"/>
    <w:rsid w:val="009677A6"/>
    <w:rsid w:val="0096798B"/>
    <w:rsid w:val="00967B1B"/>
    <w:rsid w:val="00967B57"/>
    <w:rsid w:val="00967D3E"/>
    <w:rsid w:val="009700CC"/>
    <w:rsid w:val="009701EE"/>
    <w:rsid w:val="009702BE"/>
    <w:rsid w:val="009702D1"/>
    <w:rsid w:val="009703A6"/>
    <w:rsid w:val="0097057C"/>
    <w:rsid w:val="00970700"/>
    <w:rsid w:val="00970814"/>
    <w:rsid w:val="009708F1"/>
    <w:rsid w:val="00970957"/>
    <w:rsid w:val="00970988"/>
    <w:rsid w:val="00970AC7"/>
    <w:rsid w:val="00970B45"/>
    <w:rsid w:val="00970B69"/>
    <w:rsid w:val="00970BEA"/>
    <w:rsid w:val="00970C1C"/>
    <w:rsid w:val="00970CD7"/>
    <w:rsid w:val="00970D13"/>
    <w:rsid w:val="00970F22"/>
    <w:rsid w:val="00970FD3"/>
    <w:rsid w:val="009710E1"/>
    <w:rsid w:val="009713B1"/>
    <w:rsid w:val="0097179D"/>
    <w:rsid w:val="009718E4"/>
    <w:rsid w:val="00971987"/>
    <w:rsid w:val="00971A37"/>
    <w:rsid w:val="00971AA1"/>
    <w:rsid w:val="00971B7F"/>
    <w:rsid w:val="00971C69"/>
    <w:rsid w:val="00971E3E"/>
    <w:rsid w:val="00971E71"/>
    <w:rsid w:val="00972084"/>
    <w:rsid w:val="009720A3"/>
    <w:rsid w:val="00972422"/>
    <w:rsid w:val="009725A2"/>
    <w:rsid w:val="00972711"/>
    <w:rsid w:val="009729B6"/>
    <w:rsid w:val="00972A55"/>
    <w:rsid w:val="00972B21"/>
    <w:rsid w:val="00972B89"/>
    <w:rsid w:val="00972DC3"/>
    <w:rsid w:val="00972DEC"/>
    <w:rsid w:val="009732E6"/>
    <w:rsid w:val="009733FE"/>
    <w:rsid w:val="009734CE"/>
    <w:rsid w:val="0097358E"/>
    <w:rsid w:val="00973641"/>
    <w:rsid w:val="009738CB"/>
    <w:rsid w:val="0097393B"/>
    <w:rsid w:val="00973A30"/>
    <w:rsid w:val="00973A40"/>
    <w:rsid w:val="00973B3B"/>
    <w:rsid w:val="00973E7C"/>
    <w:rsid w:val="00973E7F"/>
    <w:rsid w:val="00973FF8"/>
    <w:rsid w:val="0097462F"/>
    <w:rsid w:val="0097467B"/>
    <w:rsid w:val="00974697"/>
    <w:rsid w:val="009746F4"/>
    <w:rsid w:val="009747DF"/>
    <w:rsid w:val="00974832"/>
    <w:rsid w:val="00974837"/>
    <w:rsid w:val="009748CC"/>
    <w:rsid w:val="00974CD1"/>
    <w:rsid w:val="00974D44"/>
    <w:rsid w:val="00974D5C"/>
    <w:rsid w:val="009750B1"/>
    <w:rsid w:val="0097515C"/>
    <w:rsid w:val="00975165"/>
    <w:rsid w:val="0097517D"/>
    <w:rsid w:val="009751A7"/>
    <w:rsid w:val="0097523F"/>
    <w:rsid w:val="0097529C"/>
    <w:rsid w:val="009752ED"/>
    <w:rsid w:val="009753A5"/>
    <w:rsid w:val="009755B0"/>
    <w:rsid w:val="009756E3"/>
    <w:rsid w:val="009757D5"/>
    <w:rsid w:val="00975938"/>
    <w:rsid w:val="00975A7E"/>
    <w:rsid w:val="00975AEA"/>
    <w:rsid w:val="00975C66"/>
    <w:rsid w:val="00975E47"/>
    <w:rsid w:val="00975FCB"/>
    <w:rsid w:val="00976259"/>
    <w:rsid w:val="009764E8"/>
    <w:rsid w:val="00976623"/>
    <w:rsid w:val="009767E0"/>
    <w:rsid w:val="009768D7"/>
    <w:rsid w:val="00976A16"/>
    <w:rsid w:val="00976B19"/>
    <w:rsid w:val="00976B94"/>
    <w:rsid w:val="00976CC8"/>
    <w:rsid w:val="00976D4D"/>
    <w:rsid w:val="00976F14"/>
    <w:rsid w:val="0097700E"/>
    <w:rsid w:val="00977058"/>
    <w:rsid w:val="009770CC"/>
    <w:rsid w:val="00977205"/>
    <w:rsid w:val="00977475"/>
    <w:rsid w:val="009774DC"/>
    <w:rsid w:val="009775F8"/>
    <w:rsid w:val="0097778A"/>
    <w:rsid w:val="009777ED"/>
    <w:rsid w:val="009778EE"/>
    <w:rsid w:val="009779EC"/>
    <w:rsid w:val="00977D69"/>
    <w:rsid w:val="00977D92"/>
    <w:rsid w:val="009800C6"/>
    <w:rsid w:val="009802A4"/>
    <w:rsid w:val="009802F4"/>
    <w:rsid w:val="009804CD"/>
    <w:rsid w:val="00980A38"/>
    <w:rsid w:val="00980B5E"/>
    <w:rsid w:val="00980C6A"/>
    <w:rsid w:val="00980E42"/>
    <w:rsid w:val="0098106C"/>
    <w:rsid w:val="00981080"/>
    <w:rsid w:val="00981405"/>
    <w:rsid w:val="0098178F"/>
    <w:rsid w:val="009817ED"/>
    <w:rsid w:val="009818DE"/>
    <w:rsid w:val="00981B7E"/>
    <w:rsid w:val="00981CB3"/>
    <w:rsid w:val="00981CD4"/>
    <w:rsid w:val="00981CD7"/>
    <w:rsid w:val="00981E57"/>
    <w:rsid w:val="00981FA3"/>
    <w:rsid w:val="0098219E"/>
    <w:rsid w:val="00982420"/>
    <w:rsid w:val="009824A0"/>
    <w:rsid w:val="0098262C"/>
    <w:rsid w:val="009828D3"/>
    <w:rsid w:val="009828E3"/>
    <w:rsid w:val="009829C9"/>
    <w:rsid w:val="00982C59"/>
    <w:rsid w:val="00982E4D"/>
    <w:rsid w:val="00983028"/>
    <w:rsid w:val="009830FF"/>
    <w:rsid w:val="0098319F"/>
    <w:rsid w:val="00983290"/>
    <w:rsid w:val="00983292"/>
    <w:rsid w:val="0098331D"/>
    <w:rsid w:val="00983387"/>
    <w:rsid w:val="009833CE"/>
    <w:rsid w:val="009833D3"/>
    <w:rsid w:val="009834A0"/>
    <w:rsid w:val="0098361E"/>
    <w:rsid w:val="0098365E"/>
    <w:rsid w:val="00983695"/>
    <w:rsid w:val="009837AA"/>
    <w:rsid w:val="00983850"/>
    <w:rsid w:val="00983B79"/>
    <w:rsid w:val="00983BBA"/>
    <w:rsid w:val="00983C2D"/>
    <w:rsid w:val="00983D37"/>
    <w:rsid w:val="00983D52"/>
    <w:rsid w:val="00983DC6"/>
    <w:rsid w:val="00983E39"/>
    <w:rsid w:val="00983E8B"/>
    <w:rsid w:val="00983EA1"/>
    <w:rsid w:val="00983FF1"/>
    <w:rsid w:val="00984757"/>
    <w:rsid w:val="009848C1"/>
    <w:rsid w:val="009849CE"/>
    <w:rsid w:val="00984A9C"/>
    <w:rsid w:val="00984BD2"/>
    <w:rsid w:val="00984D8E"/>
    <w:rsid w:val="00984F23"/>
    <w:rsid w:val="00984F7C"/>
    <w:rsid w:val="00984F83"/>
    <w:rsid w:val="00985120"/>
    <w:rsid w:val="0098516E"/>
    <w:rsid w:val="0098527F"/>
    <w:rsid w:val="00985836"/>
    <w:rsid w:val="00985A6A"/>
    <w:rsid w:val="00985BBF"/>
    <w:rsid w:val="00985CC7"/>
    <w:rsid w:val="00985D72"/>
    <w:rsid w:val="00985DED"/>
    <w:rsid w:val="00985EC7"/>
    <w:rsid w:val="009860A5"/>
    <w:rsid w:val="009860D0"/>
    <w:rsid w:val="009862B9"/>
    <w:rsid w:val="00986324"/>
    <w:rsid w:val="00986488"/>
    <w:rsid w:val="00986558"/>
    <w:rsid w:val="009869DF"/>
    <w:rsid w:val="00986B32"/>
    <w:rsid w:val="00986B54"/>
    <w:rsid w:val="00986BC8"/>
    <w:rsid w:val="00986C25"/>
    <w:rsid w:val="00986E8C"/>
    <w:rsid w:val="00986FDF"/>
    <w:rsid w:val="0098739C"/>
    <w:rsid w:val="009873E9"/>
    <w:rsid w:val="009874FC"/>
    <w:rsid w:val="00987535"/>
    <w:rsid w:val="00987772"/>
    <w:rsid w:val="00987952"/>
    <w:rsid w:val="0098798B"/>
    <w:rsid w:val="00987B0F"/>
    <w:rsid w:val="00987B34"/>
    <w:rsid w:val="00987C22"/>
    <w:rsid w:val="00987D02"/>
    <w:rsid w:val="00987DA7"/>
    <w:rsid w:val="00987E46"/>
    <w:rsid w:val="009901CF"/>
    <w:rsid w:val="00990376"/>
    <w:rsid w:val="00990380"/>
    <w:rsid w:val="0099048B"/>
    <w:rsid w:val="009904B1"/>
    <w:rsid w:val="009904DF"/>
    <w:rsid w:val="0099060D"/>
    <w:rsid w:val="009907E5"/>
    <w:rsid w:val="0099084F"/>
    <w:rsid w:val="00990C21"/>
    <w:rsid w:val="00990D8C"/>
    <w:rsid w:val="00990E3D"/>
    <w:rsid w:val="00990E6E"/>
    <w:rsid w:val="0099101F"/>
    <w:rsid w:val="009910B3"/>
    <w:rsid w:val="0099114A"/>
    <w:rsid w:val="0099123B"/>
    <w:rsid w:val="009914B8"/>
    <w:rsid w:val="00991518"/>
    <w:rsid w:val="0099160C"/>
    <w:rsid w:val="0099168F"/>
    <w:rsid w:val="00991823"/>
    <w:rsid w:val="00991947"/>
    <w:rsid w:val="00991949"/>
    <w:rsid w:val="00991987"/>
    <w:rsid w:val="009919DD"/>
    <w:rsid w:val="00992014"/>
    <w:rsid w:val="009927B0"/>
    <w:rsid w:val="009927C8"/>
    <w:rsid w:val="00992865"/>
    <w:rsid w:val="00992911"/>
    <w:rsid w:val="00992960"/>
    <w:rsid w:val="00992B4A"/>
    <w:rsid w:val="00992B6F"/>
    <w:rsid w:val="00992BEE"/>
    <w:rsid w:val="00992BF0"/>
    <w:rsid w:val="00992DDA"/>
    <w:rsid w:val="00992ECF"/>
    <w:rsid w:val="0099312E"/>
    <w:rsid w:val="00993357"/>
    <w:rsid w:val="009934D7"/>
    <w:rsid w:val="00993715"/>
    <w:rsid w:val="0099391E"/>
    <w:rsid w:val="00993C6A"/>
    <w:rsid w:val="00993E3D"/>
    <w:rsid w:val="00993EBC"/>
    <w:rsid w:val="00994139"/>
    <w:rsid w:val="00994185"/>
    <w:rsid w:val="00994414"/>
    <w:rsid w:val="00994593"/>
    <w:rsid w:val="0099470C"/>
    <w:rsid w:val="009947D5"/>
    <w:rsid w:val="00994809"/>
    <w:rsid w:val="00994E1D"/>
    <w:rsid w:val="00994EBF"/>
    <w:rsid w:val="00994F06"/>
    <w:rsid w:val="00994F24"/>
    <w:rsid w:val="00994F2F"/>
    <w:rsid w:val="00995032"/>
    <w:rsid w:val="009957E6"/>
    <w:rsid w:val="009959BA"/>
    <w:rsid w:val="009959DB"/>
    <w:rsid w:val="00995A3C"/>
    <w:rsid w:val="00995A7D"/>
    <w:rsid w:val="00995BC6"/>
    <w:rsid w:val="00995E5B"/>
    <w:rsid w:val="00995F03"/>
    <w:rsid w:val="00995F45"/>
    <w:rsid w:val="00996074"/>
    <w:rsid w:val="00996085"/>
    <w:rsid w:val="0099619A"/>
    <w:rsid w:val="00996305"/>
    <w:rsid w:val="0099639F"/>
    <w:rsid w:val="00996523"/>
    <w:rsid w:val="009965C0"/>
    <w:rsid w:val="00996813"/>
    <w:rsid w:val="00996887"/>
    <w:rsid w:val="00996912"/>
    <w:rsid w:val="00996DA6"/>
    <w:rsid w:val="00996FA0"/>
    <w:rsid w:val="009970F5"/>
    <w:rsid w:val="00997104"/>
    <w:rsid w:val="009971DC"/>
    <w:rsid w:val="00997413"/>
    <w:rsid w:val="009977FC"/>
    <w:rsid w:val="00997B3A"/>
    <w:rsid w:val="00997E54"/>
    <w:rsid w:val="00997EB6"/>
    <w:rsid w:val="00997EFC"/>
    <w:rsid w:val="009A0200"/>
    <w:rsid w:val="009A0246"/>
    <w:rsid w:val="009A03BC"/>
    <w:rsid w:val="009A04F5"/>
    <w:rsid w:val="009A05FB"/>
    <w:rsid w:val="009A06E5"/>
    <w:rsid w:val="009A073E"/>
    <w:rsid w:val="009A08A2"/>
    <w:rsid w:val="009A0921"/>
    <w:rsid w:val="009A103B"/>
    <w:rsid w:val="009A10DE"/>
    <w:rsid w:val="009A1272"/>
    <w:rsid w:val="009A1278"/>
    <w:rsid w:val="009A1335"/>
    <w:rsid w:val="009A16B4"/>
    <w:rsid w:val="009A16D1"/>
    <w:rsid w:val="009A16D3"/>
    <w:rsid w:val="009A1719"/>
    <w:rsid w:val="009A1914"/>
    <w:rsid w:val="009A191B"/>
    <w:rsid w:val="009A1CBA"/>
    <w:rsid w:val="009A1F6D"/>
    <w:rsid w:val="009A1FCD"/>
    <w:rsid w:val="009A204C"/>
    <w:rsid w:val="009A207B"/>
    <w:rsid w:val="009A20B3"/>
    <w:rsid w:val="009A214D"/>
    <w:rsid w:val="009A22A4"/>
    <w:rsid w:val="009A22FC"/>
    <w:rsid w:val="009A25A3"/>
    <w:rsid w:val="009A2643"/>
    <w:rsid w:val="009A2C1F"/>
    <w:rsid w:val="009A2C7D"/>
    <w:rsid w:val="009A2C89"/>
    <w:rsid w:val="009A2CCB"/>
    <w:rsid w:val="009A2F21"/>
    <w:rsid w:val="009A34C0"/>
    <w:rsid w:val="009A36B8"/>
    <w:rsid w:val="009A37FF"/>
    <w:rsid w:val="009A382D"/>
    <w:rsid w:val="009A3926"/>
    <w:rsid w:val="009A3CCC"/>
    <w:rsid w:val="009A3E30"/>
    <w:rsid w:val="009A3E51"/>
    <w:rsid w:val="009A3F7A"/>
    <w:rsid w:val="009A4167"/>
    <w:rsid w:val="009A41FF"/>
    <w:rsid w:val="009A44A7"/>
    <w:rsid w:val="009A450C"/>
    <w:rsid w:val="009A461B"/>
    <w:rsid w:val="009A462D"/>
    <w:rsid w:val="009A4992"/>
    <w:rsid w:val="009A49B3"/>
    <w:rsid w:val="009A4BA1"/>
    <w:rsid w:val="009A4C0D"/>
    <w:rsid w:val="009A4E7F"/>
    <w:rsid w:val="009A4ED6"/>
    <w:rsid w:val="009A50B4"/>
    <w:rsid w:val="009A50CF"/>
    <w:rsid w:val="009A5330"/>
    <w:rsid w:val="009A5372"/>
    <w:rsid w:val="009A549B"/>
    <w:rsid w:val="009A54E0"/>
    <w:rsid w:val="009A570F"/>
    <w:rsid w:val="009A5714"/>
    <w:rsid w:val="009A5A98"/>
    <w:rsid w:val="009A5BCE"/>
    <w:rsid w:val="009A6057"/>
    <w:rsid w:val="009A6142"/>
    <w:rsid w:val="009A61DF"/>
    <w:rsid w:val="009A61F2"/>
    <w:rsid w:val="009A62F4"/>
    <w:rsid w:val="009A66FA"/>
    <w:rsid w:val="009A6719"/>
    <w:rsid w:val="009A6A24"/>
    <w:rsid w:val="009A6AFC"/>
    <w:rsid w:val="009A6C89"/>
    <w:rsid w:val="009A6C9D"/>
    <w:rsid w:val="009A6D5F"/>
    <w:rsid w:val="009A6E85"/>
    <w:rsid w:val="009A6FC5"/>
    <w:rsid w:val="009A7213"/>
    <w:rsid w:val="009A7438"/>
    <w:rsid w:val="009A754B"/>
    <w:rsid w:val="009A763D"/>
    <w:rsid w:val="009A76D4"/>
    <w:rsid w:val="009A77C6"/>
    <w:rsid w:val="009A7870"/>
    <w:rsid w:val="009A78DA"/>
    <w:rsid w:val="009A7939"/>
    <w:rsid w:val="009A7A09"/>
    <w:rsid w:val="009A7C3C"/>
    <w:rsid w:val="009A7C7E"/>
    <w:rsid w:val="009A7E21"/>
    <w:rsid w:val="009A7E66"/>
    <w:rsid w:val="009B03FD"/>
    <w:rsid w:val="009B04B9"/>
    <w:rsid w:val="009B063B"/>
    <w:rsid w:val="009B0797"/>
    <w:rsid w:val="009B07CB"/>
    <w:rsid w:val="009B0B0B"/>
    <w:rsid w:val="009B0C73"/>
    <w:rsid w:val="009B0DA3"/>
    <w:rsid w:val="009B0DAF"/>
    <w:rsid w:val="009B0DF8"/>
    <w:rsid w:val="009B10C4"/>
    <w:rsid w:val="009B13D2"/>
    <w:rsid w:val="009B1580"/>
    <w:rsid w:val="009B15F0"/>
    <w:rsid w:val="009B1610"/>
    <w:rsid w:val="009B16AF"/>
    <w:rsid w:val="009B17D9"/>
    <w:rsid w:val="009B181E"/>
    <w:rsid w:val="009B182A"/>
    <w:rsid w:val="009B19DE"/>
    <w:rsid w:val="009B1B6D"/>
    <w:rsid w:val="009B1DB0"/>
    <w:rsid w:val="009B1DE5"/>
    <w:rsid w:val="009B2015"/>
    <w:rsid w:val="009B2133"/>
    <w:rsid w:val="009B21CA"/>
    <w:rsid w:val="009B22A9"/>
    <w:rsid w:val="009B2559"/>
    <w:rsid w:val="009B299D"/>
    <w:rsid w:val="009B2A3D"/>
    <w:rsid w:val="009B2B0F"/>
    <w:rsid w:val="009B2B49"/>
    <w:rsid w:val="009B343D"/>
    <w:rsid w:val="009B3543"/>
    <w:rsid w:val="009B3719"/>
    <w:rsid w:val="009B3A1D"/>
    <w:rsid w:val="009B3AEF"/>
    <w:rsid w:val="009B3CEB"/>
    <w:rsid w:val="009B3E77"/>
    <w:rsid w:val="009B3EE2"/>
    <w:rsid w:val="009B4009"/>
    <w:rsid w:val="009B41A6"/>
    <w:rsid w:val="009B4309"/>
    <w:rsid w:val="009B44AA"/>
    <w:rsid w:val="009B480B"/>
    <w:rsid w:val="009B4A5F"/>
    <w:rsid w:val="009B4AD7"/>
    <w:rsid w:val="009B4DBB"/>
    <w:rsid w:val="009B507E"/>
    <w:rsid w:val="009B516A"/>
    <w:rsid w:val="009B521B"/>
    <w:rsid w:val="009B53C3"/>
    <w:rsid w:val="009B559E"/>
    <w:rsid w:val="009B56A5"/>
    <w:rsid w:val="009B5746"/>
    <w:rsid w:val="009B586C"/>
    <w:rsid w:val="009B594F"/>
    <w:rsid w:val="009B5A06"/>
    <w:rsid w:val="009B5A15"/>
    <w:rsid w:val="009B5B51"/>
    <w:rsid w:val="009B5C0F"/>
    <w:rsid w:val="009B5CE8"/>
    <w:rsid w:val="009B60A5"/>
    <w:rsid w:val="009B63D6"/>
    <w:rsid w:val="009B64F9"/>
    <w:rsid w:val="009B6662"/>
    <w:rsid w:val="009B6686"/>
    <w:rsid w:val="009B678D"/>
    <w:rsid w:val="009B67AA"/>
    <w:rsid w:val="009B6A2D"/>
    <w:rsid w:val="009B6AE7"/>
    <w:rsid w:val="009B6BCB"/>
    <w:rsid w:val="009B6D6B"/>
    <w:rsid w:val="009B6DD8"/>
    <w:rsid w:val="009B700B"/>
    <w:rsid w:val="009B736E"/>
    <w:rsid w:val="009B75B2"/>
    <w:rsid w:val="009B7670"/>
    <w:rsid w:val="009B77CC"/>
    <w:rsid w:val="009B7808"/>
    <w:rsid w:val="009B783C"/>
    <w:rsid w:val="009B799B"/>
    <w:rsid w:val="009B79E6"/>
    <w:rsid w:val="009B7B4C"/>
    <w:rsid w:val="009B7F2B"/>
    <w:rsid w:val="009C0234"/>
    <w:rsid w:val="009C04C8"/>
    <w:rsid w:val="009C059E"/>
    <w:rsid w:val="009C0662"/>
    <w:rsid w:val="009C0A83"/>
    <w:rsid w:val="009C0A95"/>
    <w:rsid w:val="009C0B98"/>
    <w:rsid w:val="009C0C39"/>
    <w:rsid w:val="009C0C4E"/>
    <w:rsid w:val="009C0D3D"/>
    <w:rsid w:val="009C0D56"/>
    <w:rsid w:val="009C0E9A"/>
    <w:rsid w:val="009C12DD"/>
    <w:rsid w:val="009C1379"/>
    <w:rsid w:val="009C13C6"/>
    <w:rsid w:val="009C1405"/>
    <w:rsid w:val="009C16B9"/>
    <w:rsid w:val="009C18E4"/>
    <w:rsid w:val="009C1C6B"/>
    <w:rsid w:val="009C1E15"/>
    <w:rsid w:val="009C1FDC"/>
    <w:rsid w:val="009C23DE"/>
    <w:rsid w:val="009C23F7"/>
    <w:rsid w:val="009C277B"/>
    <w:rsid w:val="009C28A5"/>
    <w:rsid w:val="009C28D5"/>
    <w:rsid w:val="009C28E5"/>
    <w:rsid w:val="009C2C3F"/>
    <w:rsid w:val="009C2CC8"/>
    <w:rsid w:val="009C2EB1"/>
    <w:rsid w:val="009C2ED8"/>
    <w:rsid w:val="009C2F4D"/>
    <w:rsid w:val="009C301F"/>
    <w:rsid w:val="009C389E"/>
    <w:rsid w:val="009C3980"/>
    <w:rsid w:val="009C39EB"/>
    <w:rsid w:val="009C3AFA"/>
    <w:rsid w:val="009C3B3D"/>
    <w:rsid w:val="009C3C1B"/>
    <w:rsid w:val="009C3E5B"/>
    <w:rsid w:val="009C3EF9"/>
    <w:rsid w:val="009C3F7C"/>
    <w:rsid w:val="009C41EA"/>
    <w:rsid w:val="009C42F7"/>
    <w:rsid w:val="009C43AF"/>
    <w:rsid w:val="009C4453"/>
    <w:rsid w:val="009C44AF"/>
    <w:rsid w:val="009C459A"/>
    <w:rsid w:val="009C4614"/>
    <w:rsid w:val="009C47EF"/>
    <w:rsid w:val="009C4887"/>
    <w:rsid w:val="009C4B0A"/>
    <w:rsid w:val="009C50A3"/>
    <w:rsid w:val="009C53DF"/>
    <w:rsid w:val="009C53E5"/>
    <w:rsid w:val="009C5516"/>
    <w:rsid w:val="009C5828"/>
    <w:rsid w:val="009C58CF"/>
    <w:rsid w:val="009C5B06"/>
    <w:rsid w:val="009C5B95"/>
    <w:rsid w:val="009C5BB5"/>
    <w:rsid w:val="009C5D6D"/>
    <w:rsid w:val="009C612D"/>
    <w:rsid w:val="009C6151"/>
    <w:rsid w:val="009C632E"/>
    <w:rsid w:val="009C634E"/>
    <w:rsid w:val="009C63C1"/>
    <w:rsid w:val="009C6474"/>
    <w:rsid w:val="009C650A"/>
    <w:rsid w:val="009C658B"/>
    <w:rsid w:val="009C6612"/>
    <w:rsid w:val="009C6764"/>
    <w:rsid w:val="009C68E9"/>
    <w:rsid w:val="009C6A7B"/>
    <w:rsid w:val="009C6D5A"/>
    <w:rsid w:val="009C6E95"/>
    <w:rsid w:val="009C6ED6"/>
    <w:rsid w:val="009C6F86"/>
    <w:rsid w:val="009C7049"/>
    <w:rsid w:val="009C7110"/>
    <w:rsid w:val="009C72E9"/>
    <w:rsid w:val="009C7569"/>
    <w:rsid w:val="009C75F6"/>
    <w:rsid w:val="009C76D6"/>
    <w:rsid w:val="009C7743"/>
    <w:rsid w:val="009C7898"/>
    <w:rsid w:val="009C7B79"/>
    <w:rsid w:val="009C7BB5"/>
    <w:rsid w:val="009D0175"/>
    <w:rsid w:val="009D02A0"/>
    <w:rsid w:val="009D030D"/>
    <w:rsid w:val="009D032D"/>
    <w:rsid w:val="009D04B1"/>
    <w:rsid w:val="009D0679"/>
    <w:rsid w:val="009D06DE"/>
    <w:rsid w:val="009D0940"/>
    <w:rsid w:val="009D09D9"/>
    <w:rsid w:val="009D0A2E"/>
    <w:rsid w:val="009D0AA8"/>
    <w:rsid w:val="009D0CC5"/>
    <w:rsid w:val="009D0D1C"/>
    <w:rsid w:val="009D0F26"/>
    <w:rsid w:val="009D0F91"/>
    <w:rsid w:val="009D10F9"/>
    <w:rsid w:val="009D1193"/>
    <w:rsid w:val="009D11F4"/>
    <w:rsid w:val="009D13CA"/>
    <w:rsid w:val="009D1464"/>
    <w:rsid w:val="009D15C1"/>
    <w:rsid w:val="009D165C"/>
    <w:rsid w:val="009D1800"/>
    <w:rsid w:val="009D183E"/>
    <w:rsid w:val="009D1937"/>
    <w:rsid w:val="009D1989"/>
    <w:rsid w:val="009D1B0D"/>
    <w:rsid w:val="009D1C30"/>
    <w:rsid w:val="009D1D59"/>
    <w:rsid w:val="009D1D87"/>
    <w:rsid w:val="009D1EB8"/>
    <w:rsid w:val="009D1EC6"/>
    <w:rsid w:val="009D1F81"/>
    <w:rsid w:val="009D22C4"/>
    <w:rsid w:val="009D22EE"/>
    <w:rsid w:val="009D248A"/>
    <w:rsid w:val="009D24DF"/>
    <w:rsid w:val="009D2592"/>
    <w:rsid w:val="009D2636"/>
    <w:rsid w:val="009D26BA"/>
    <w:rsid w:val="009D26FC"/>
    <w:rsid w:val="009D283B"/>
    <w:rsid w:val="009D2C04"/>
    <w:rsid w:val="009D2C3B"/>
    <w:rsid w:val="009D2C48"/>
    <w:rsid w:val="009D2E7F"/>
    <w:rsid w:val="009D2F01"/>
    <w:rsid w:val="009D2F40"/>
    <w:rsid w:val="009D302E"/>
    <w:rsid w:val="009D3041"/>
    <w:rsid w:val="009D3292"/>
    <w:rsid w:val="009D330D"/>
    <w:rsid w:val="009D335F"/>
    <w:rsid w:val="009D3397"/>
    <w:rsid w:val="009D34AF"/>
    <w:rsid w:val="009D3565"/>
    <w:rsid w:val="009D36D8"/>
    <w:rsid w:val="009D3892"/>
    <w:rsid w:val="009D3932"/>
    <w:rsid w:val="009D3BBE"/>
    <w:rsid w:val="009D3C04"/>
    <w:rsid w:val="009D3D25"/>
    <w:rsid w:val="009D3D4A"/>
    <w:rsid w:val="009D3E83"/>
    <w:rsid w:val="009D3ECB"/>
    <w:rsid w:val="009D3F38"/>
    <w:rsid w:val="009D44B5"/>
    <w:rsid w:val="009D4569"/>
    <w:rsid w:val="009D4764"/>
    <w:rsid w:val="009D4776"/>
    <w:rsid w:val="009D4897"/>
    <w:rsid w:val="009D48E6"/>
    <w:rsid w:val="009D4959"/>
    <w:rsid w:val="009D4980"/>
    <w:rsid w:val="009D4AA4"/>
    <w:rsid w:val="009D4B49"/>
    <w:rsid w:val="009D4BC0"/>
    <w:rsid w:val="009D4CA2"/>
    <w:rsid w:val="009D4EBB"/>
    <w:rsid w:val="009D4F5A"/>
    <w:rsid w:val="009D5193"/>
    <w:rsid w:val="009D5268"/>
    <w:rsid w:val="009D529C"/>
    <w:rsid w:val="009D52B6"/>
    <w:rsid w:val="009D54C7"/>
    <w:rsid w:val="009D59FE"/>
    <w:rsid w:val="009D5C1F"/>
    <w:rsid w:val="009D5C6C"/>
    <w:rsid w:val="009D5F8D"/>
    <w:rsid w:val="009D5F91"/>
    <w:rsid w:val="009D60EC"/>
    <w:rsid w:val="009D614E"/>
    <w:rsid w:val="009D6153"/>
    <w:rsid w:val="009D63D8"/>
    <w:rsid w:val="009D6596"/>
    <w:rsid w:val="009D66E6"/>
    <w:rsid w:val="009D66F8"/>
    <w:rsid w:val="009D6766"/>
    <w:rsid w:val="009D67A7"/>
    <w:rsid w:val="009D6813"/>
    <w:rsid w:val="009D69C7"/>
    <w:rsid w:val="009D69FA"/>
    <w:rsid w:val="009D6C40"/>
    <w:rsid w:val="009D6DF1"/>
    <w:rsid w:val="009D6F61"/>
    <w:rsid w:val="009D71F5"/>
    <w:rsid w:val="009D71FE"/>
    <w:rsid w:val="009D7617"/>
    <w:rsid w:val="009D7932"/>
    <w:rsid w:val="009D7BC8"/>
    <w:rsid w:val="009E0AE5"/>
    <w:rsid w:val="009E0C58"/>
    <w:rsid w:val="009E0CAB"/>
    <w:rsid w:val="009E1028"/>
    <w:rsid w:val="009E11EE"/>
    <w:rsid w:val="009E1327"/>
    <w:rsid w:val="009E1726"/>
    <w:rsid w:val="009E18C1"/>
    <w:rsid w:val="009E1A00"/>
    <w:rsid w:val="009E1AAA"/>
    <w:rsid w:val="009E1BD0"/>
    <w:rsid w:val="009E1F74"/>
    <w:rsid w:val="009E20D5"/>
    <w:rsid w:val="009E217B"/>
    <w:rsid w:val="009E21A5"/>
    <w:rsid w:val="009E22CF"/>
    <w:rsid w:val="009E2357"/>
    <w:rsid w:val="009E2474"/>
    <w:rsid w:val="009E255D"/>
    <w:rsid w:val="009E27A7"/>
    <w:rsid w:val="009E27EF"/>
    <w:rsid w:val="009E27FB"/>
    <w:rsid w:val="009E282C"/>
    <w:rsid w:val="009E2B08"/>
    <w:rsid w:val="009E2CBD"/>
    <w:rsid w:val="009E2D2B"/>
    <w:rsid w:val="009E2F48"/>
    <w:rsid w:val="009E3057"/>
    <w:rsid w:val="009E30AB"/>
    <w:rsid w:val="009E3800"/>
    <w:rsid w:val="009E3885"/>
    <w:rsid w:val="009E3982"/>
    <w:rsid w:val="009E39BC"/>
    <w:rsid w:val="009E3A44"/>
    <w:rsid w:val="009E3D4F"/>
    <w:rsid w:val="009E3E27"/>
    <w:rsid w:val="009E3E2C"/>
    <w:rsid w:val="009E3F56"/>
    <w:rsid w:val="009E3F70"/>
    <w:rsid w:val="009E4110"/>
    <w:rsid w:val="009E43B3"/>
    <w:rsid w:val="009E4474"/>
    <w:rsid w:val="009E45FB"/>
    <w:rsid w:val="009E47FF"/>
    <w:rsid w:val="009E4C57"/>
    <w:rsid w:val="009E4CF4"/>
    <w:rsid w:val="009E4EBB"/>
    <w:rsid w:val="009E5045"/>
    <w:rsid w:val="009E517C"/>
    <w:rsid w:val="009E54ED"/>
    <w:rsid w:val="009E5569"/>
    <w:rsid w:val="009E573F"/>
    <w:rsid w:val="009E5AF7"/>
    <w:rsid w:val="009E5B93"/>
    <w:rsid w:val="009E5BA2"/>
    <w:rsid w:val="009E5DC8"/>
    <w:rsid w:val="009E5E7B"/>
    <w:rsid w:val="009E6037"/>
    <w:rsid w:val="009E60C9"/>
    <w:rsid w:val="009E62CA"/>
    <w:rsid w:val="009E63A6"/>
    <w:rsid w:val="009E64DC"/>
    <w:rsid w:val="009E64F4"/>
    <w:rsid w:val="009E6551"/>
    <w:rsid w:val="009E67CB"/>
    <w:rsid w:val="009E6BD0"/>
    <w:rsid w:val="009E6FEF"/>
    <w:rsid w:val="009E7021"/>
    <w:rsid w:val="009E74D4"/>
    <w:rsid w:val="009E7576"/>
    <w:rsid w:val="009E757F"/>
    <w:rsid w:val="009E763D"/>
    <w:rsid w:val="009E771A"/>
    <w:rsid w:val="009E78BB"/>
    <w:rsid w:val="009E7958"/>
    <w:rsid w:val="009E7A38"/>
    <w:rsid w:val="009E7C15"/>
    <w:rsid w:val="009E7D00"/>
    <w:rsid w:val="009E7E8B"/>
    <w:rsid w:val="009E7EEA"/>
    <w:rsid w:val="009E7F13"/>
    <w:rsid w:val="009E7FA4"/>
    <w:rsid w:val="009E7FE1"/>
    <w:rsid w:val="009F001C"/>
    <w:rsid w:val="009F01C9"/>
    <w:rsid w:val="009F02DF"/>
    <w:rsid w:val="009F0411"/>
    <w:rsid w:val="009F04C9"/>
    <w:rsid w:val="009F0624"/>
    <w:rsid w:val="009F06B5"/>
    <w:rsid w:val="009F06CD"/>
    <w:rsid w:val="009F0850"/>
    <w:rsid w:val="009F0B41"/>
    <w:rsid w:val="009F0B5E"/>
    <w:rsid w:val="009F0D35"/>
    <w:rsid w:val="009F0DB6"/>
    <w:rsid w:val="009F122A"/>
    <w:rsid w:val="009F1379"/>
    <w:rsid w:val="009F177A"/>
    <w:rsid w:val="009F181B"/>
    <w:rsid w:val="009F182D"/>
    <w:rsid w:val="009F197C"/>
    <w:rsid w:val="009F19DA"/>
    <w:rsid w:val="009F19EA"/>
    <w:rsid w:val="009F1A7A"/>
    <w:rsid w:val="009F1AD6"/>
    <w:rsid w:val="009F1AF0"/>
    <w:rsid w:val="009F1BDA"/>
    <w:rsid w:val="009F1C9F"/>
    <w:rsid w:val="009F1D1D"/>
    <w:rsid w:val="009F2500"/>
    <w:rsid w:val="009F253E"/>
    <w:rsid w:val="009F25BA"/>
    <w:rsid w:val="009F2C6B"/>
    <w:rsid w:val="009F2EAE"/>
    <w:rsid w:val="009F3025"/>
    <w:rsid w:val="009F30BF"/>
    <w:rsid w:val="009F3447"/>
    <w:rsid w:val="009F36D2"/>
    <w:rsid w:val="009F38DA"/>
    <w:rsid w:val="009F3BE5"/>
    <w:rsid w:val="009F3CA6"/>
    <w:rsid w:val="009F3EB7"/>
    <w:rsid w:val="009F41C3"/>
    <w:rsid w:val="009F433D"/>
    <w:rsid w:val="009F43FB"/>
    <w:rsid w:val="009F450F"/>
    <w:rsid w:val="009F4543"/>
    <w:rsid w:val="009F4895"/>
    <w:rsid w:val="009F48A0"/>
    <w:rsid w:val="009F4B2B"/>
    <w:rsid w:val="009F4C5D"/>
    <w:rsid w:val="009F4D4B"/>
    <w:rsid w:val="009F5195"/>
    <w:rsid w:val="009F51A8"/>
    <w:rsid w:val="009F51CF"/>
    <w:rsid w:val="009F556B"/>
    <w:rsid w:val="009F5582"/>
    <w:rsid w:val="009F57BD"/>
    <w:rsid w:val="009F57CD"/>
    <w:rsid w:val="009F5A02"/>
    <w:rsid w:val="009F5B1E"/>
    <w:rsid w:val="009F5FAE"/>
    <w:rsid w:val="009F6009"/>
    <w:rsid w:val="009F605E"/>
    <w:rsid w:val="009F637E"/>
    <w:rsid w:val="009F68F2"/>
    <w:rsid w:val="009F6904"/>
    <w:rsid w:val="009F6930"/>
    <w:rsid w:val="009F6A85"/>
    <w:rsid w:val="009F6BBA"/>
    <w:rsid w:val="009F7083"/>
    <w:rsid w:val="009F70B3"/>
    <w:rsid w:val="009F71CC"/>
    <w:rsid w:val="009F71E4"/>
    <w:rsid w:val="009F71F6"/>
    <w:rsid w:val="009F737C"/>
    <w:rsid w:val="009F75CB"/>
    <w:rsid w:val="009F7600"/>
    <w:rsid w:val="009F77AA"/>
    <w:rsid w:val="009F79E5"/>
    <w:rsid w:val="009F7A29"/>
    <w:rsid w:val="009F7ADE"/>
    <w:rsid w:val="009F7B3B"/>
    <w:rsid w:val="009F7B3F"/>
    <w:rsid w:val="009F7BF6"/>
    <w:rsid w:val="009F7C4A"/>
    <w:rsid w:val="009F7D71"/>
    <w:rsid w:val="009F7D86"/>
    <w:rsid w:val="009F7E90"/>
    <w:rsid w:val="00A0020C"/>
    <w:rsid w:val="00A00222"/>
    <w:rsid w:val="00A00434"/>
    <w:rsid w:val="00A005C2"/>
    <w:rsid w:val="00A006A5"/>
    <w:rsid w:val="00A00722"/>
    <w:rsid w:val="00A00B34"/>
    <w:rsid w:val="00A00B63"/>
    <w:rsid w:val="00A00C76"/>
    <w:rsid w:val="00A00DE7"/>
    <w:rsid w:val="00A00DF3"/>
    <w:rsid w:val="00A00EAA"/>
    <w:rsid w:val="00A012CF"/>
    <w:rsid w:val="00A01387"/>
    <w:rsid w:val="00A013D5"/>
    <w:rsid w:val="00A01534"/>
    <w:rsid w:val="00A016E3"/>
    <w:rsid w:val="00A01873"/>
    <w:rsid w:val="00A01AB7"/>
    <w:rsid w:val="00A01BE7"/>
    <w:rsid w:val="00A01D49"/>
    <w:rsid w:val="00A01E82"/>
    <w:rsid w:val="00A02529"/>
    <w:rsid w:val="00A02826"/>
    <w:rsid w:val="00A02868"/>
    <w:rsid w:val="00A02991"/>
    <w:rsid w:val="00A029DA"/>
    <w:rsid w:val="00A02AEA"/>
    <w:rsid w:val="00A02AED"/>
    <w:rsid w:val="00A02B47"/>
    <w:rsid w:val="00A02B84"/>
    <w:rsid w:val="00A02C0A"/>
    <w:rsid w:val="00A02C2D"/>
    <w:rsid w:val="00A02FF6"/>
    <w:rsid w:val="00A03004"/>
    <w:rsid w:val="00A03056"/>
    <w:rsid w:val="00A030F5"/>
    <w:rsid w:val="00A03100"/>
    <w:rsid w:val="00A03156"/>
    <w:rsid w:val="00A03234"/>
    <w:rsid w:val="00A03341"/>
    <w:rsid w:val="00A03471"/>
    <w:rsid w:val="00A03478"/>
    <w:rsid w:val="00A03480"/>
    <w:rsid w:val="00A03625"/>
    <w:rsid w:val="00A036DD"/>
    <w:rsid w:val="00A0398D"/>
    <w:rsid w:val="00A03A7C"/>
    <w:rsid w:val="00A03CA3"/>
    <w:rsid w:val="00A03D2D"/>
    <w:rsid w:val="00A0412D"/>
    <w:rsid w:val="00A042C9"/>
    <w:rsid w:val="00A04420"/>
    <w:rsid w:val="00A0448D"/>
    <w:rsid w:val="00A045F9"/>
    <w:rsid w:val="00A04934"/>
    <w:rsid w:val="00A04989"/>
    <w:rsid w:val="00A0498E"/>
    <w:rsid w:val="00A049C2"/>
    <w:rsid w:val="00A04D3A"/>
    <w:rsid w:val="00A04DD8"/>
    <w:rsid w:val="00A04E31"/>
    <w:rsid w:val="00A04E58"/>
    <w:rsid w:val="00A04EB8"/>
    <w:rsid w:val="00A04EDD"/>
    <w:rsid w:val="00A04F50"/>
    <w:rsid w:val="00A04FF0"/>
    <w:rsid w:val="00A050B7"/>
    <w:rsid w:val="00A0526A"/>
    <w:rsid w:val="00A052ED"/>
    <w:rsid w:val="00A0531F"/>
    <w:rsid w:val="00A054FC"/>
    <w:rsid w:val="00A055BC"/>
    <w:rsid w:val="00A05BB5"/>
    <w:rsid w:val="00A05C56"/>
    <w:rsid w:val="00A05F4B"/>
    <w:rsid w:val="00A061F6"/>
    <w:rsid w:val="00A063F2"/>
    <w:rsid w:val="00A0664E"/>
    <w:rsid w:val="00A0665F"/>
    <w:rsid w:val="00A067A8"/>
    <w:rsid w:val="00A06AAF"/>
    <w:rsid w:val="00A06B1F"/>
    <w:rsid w:val="00A06CD1"/>
    <w:rsid w:val="00A06F4E"/>
    <w:rsid w:val="00A06F67"/>
    <w:rsid w:val="00A06F6E"/>
    <w:rsid w:val="00A0705C"/>
    <w:rsid w:val="00A07674"/>
    <w:rsid w:val="00A0772E"/>
    <w:rsid w:val="00A07793"/>
    <w:rsid w:val="00A07B8C"/>
    <w:rsid w:val="00A07BFB"/>
    <w:rsid w:val="00A07D5E"/>
    <w:rsid w:val="00A07E6F"/>
    <w:rsid w:val="00A10039"/>
    <w:rsid w:val="00A100BB"/>
    <w:rsid w:val="00A100C1"/>
    <w:rsid w:val="00A10260"/>
    <w:rsid w:val="00A1029F"/>
    <w:rsid w:val="00A103CA"/>
    <w:rsid w:val="00A104B3"/>
    <w:rsid w:val="00A104DA"/>
    <w:rsid w:val="00A10518"/>
    <w:rsid w:val="00A10643"/>
    <w:rsid w:val="00A1071C"/>
    <w:rsid w:val="00A10727"/>
    <w:rsid w:val="00A108AC"/>
    <w:rsid w:val="00A109C2"/>
    <w:rsid w:val="00A109C3"/>
    <w:rsid w:val="00A10A9A"/>
    <w:rsid w:val="00A10B80"/>
    <w:rsid w:val="00A10DD7"/>
    <w:rsid w:val="00A10EA1"/>
    <w:rsid w:val="00A10F61"/>
    <w:rsid w:val="00A10FAE"/>
    <w:rsid w:val="00A10FE4"/>
    <w:rsid w:val="00A11134"/>
    <w:rsid w:val="00A1128C"/>
    <w:rsid w:val="00A112A1"/>
    <w:rsid w:val="00A11408"/>
    <w:rsid w:val="00A1165E"/>
    <w:rsid w:val="00A1166B"/>
    <w:rsid w:val="00A11747"/>
    <w:rsid w:val="00A11773"/>
    <w:rsid w:val="00A118E5"/>
    <w:rsid w:val="00A1192D"/>
    <w:rsid w:val="00A119D5"/>
    <w:rsid w:val="00A11B2F"/>
    <w:rsid w:val="00A11B90"/>
    <w:rsid w:val="00A11DC6"/>
    <w:rsid w:val="00A11F5A"/>
    <w:rsid w:val="00A11F70"/>
    <w:rsid w:val="00A12566"/>
    <w:rsid w:val="00A127C3"/>
    <w:rsid w:val="00A128A4"/>
    <w:rsid w:val="00A12A7C"/>
    <w:rsid w:val="00A12AB9"/>
    <w:rsid w:val="00A12BA0"/>
    <w:rsid w:val="00A12BA3"/>
    <w:rsid w:val="00A12DC0"/>
    <w:rsid w:val="00A12E10"/>
    <w:rsid w:val="00A12E68"/>
    <w:rsid w:val="00A12EED"/>
    <w:rsid w:val="00A13183"/>
    <w:rsid w:val="00A132C6"/>
    <w:rsid w:val="00A1353B"/>
    <w:rsid w:val="00A1368B"/>
    <w:rsid w:val="00A138AB"/>
    <w:rsid w:val="00A138B0"/>
    <w:rsid w:val="00A13C01"/>
    <w:rsid w:val="00A13CAA"/>
    <w:rsid w:val="00A13DF0"/>
    <w:rsid w:val="00A13E15"/>
    <w:rsid w:val="00A13E94"/>
    <w:rsid w:val="00A13F04"/>
    <w:rsid w:val="00A13F98"/>
    <w:rsid w:val="00A140BD"/>
    <w:rsid w:val="00A1435C"/>
    <w:rsid w:val="00A14372"/>
    <w:rsid w:val="00A143D9"/>
    <w:rsid w:val="00A148D7"/>
    <w:rsid w:val="00A1498F"/>
    <w:rsid w:val="00A149A8"/>
    <w:rsid w:val="00A14A26"/>
    <w:rsid w:val="00A14A49"/>
    <w:rsid w:val="00A14B02"/>
    <w:rsid w:val="00A14BE5"/>
    <w:rsid w:val="00A14C46"/>
    <w:rsid w:val="00A14F1E"/>
    <w:rsid w:val="00A14FF4"/>
    <w:rsid w:val="00A1506A"/>
    <w:rsid w:val="00A15349"/>
    <w:rsid w:val="00A1566C"/>
    <w:rsid w:val="00A15741"/>
    <w:rsid w:val="00A157E9"/>
    <w:rsid w:val="00A15884"/>
    <w:rsid w:val="00A1593A"/>
    <w:rsid w:val="00A159BC"/>
    <w:rsid w:val="00A15AA9"/>
    <w:rsid w:val="00A15EA0"/>
    <w:rsid w:val="00A15FB0"/>
    <w:rsid w:val="00A16651"/>
    <w:rsid w:val="00A16874"/>
    <w:rsid w:val="00A1688B"/>
    <w:rsid w:val="00A16920"/>
    <w:rsid w:val="00A169CF"/>
    <w:rsid w:val="00A169FA"/>
    <w:rsid w:val="00A16BB5"/>
    <w:rsid w:val="00A16C57"/>
    <w:rsid w:val="00A16C66"/>
    <w:rsid w:val="00A16C73"/>
    <w:rsid w:val="00A16D7E"/>
    <w:rsid w:val="00A16E6E"/>
    <w:rsid w:val="00A16EF8"/>
    <w:rsid w:val="00A16F32"/>
    <w:rsid w:val="00A16F55"/>
    <w:rsid w:val="00A16F74"/>
    <w:rsid w:val="00A17048"/>
    <w:rsid w:val="00A170EE"/>
    <w:rsid w:val="00A171C1"/>
    <w:rsid w:val="00A172DA"/>
    <w:rsid w:val="00A17360"/>
    <w:rsid w:val="00A174C0"/>
    <w:rsid w:val="00A175F1"/>
    <w:rsid w:val="00A175F5"/>
    <w:rsid w:val="00A17641"/>
    <w:rsid w:val="00A1779C"/>
    <w:rsid w:val="00A1780E"/>
    <w:rsid w:val="00A17A0B"/>
    <w:rsid w:val="00A17C4B"/>
    <w:rsid w:val="00A17D98"/>
    <w:rsid w:val="00A17EE8"/>
    <w:rsid w:val="00A2026B"/>
    <w:rsid w:val="00A20362"/>
    <w:rsid w:val="00A20424"/>
    <w:rsid w:val="00A2043C"/>
    <w:rsid w:val="00A20533"/>
    <w:rsid w:val="00A2056C"/>
    <w:rsid w:val="00A2069E"/>
    <w:rsid w:val="00A207DF"/>
    <w:rsid w:val="00A20937"/>
    <w:rsid w:val="00A20C91"/>
    <w:rsid w:val="00A20DC2"/>
    <w:rsid w:val="00A20E5D"/>
    <w:rsid w:val="00A2122C"/>
    <w:rsid w:val="00A217E1"/>
    <w:rsid w:val="00A218A6"/>
    <w:rsid w:val="00A218CC"/>
    <w:rsid w:val="00A2194D"/>
    <w:rsid w:val="00A21A72"/>
    <w:rsid w:val="00A21BF9"/>
    <w:rsid w:val="00A21E84"/>
    <w:rsid w:val="00A21EC4"/>
    <w:rsid w:val="00A21F31"/>
    <w:rsid w:val="00A21FF7"/>
    <w:rsid w:val="00A222B3"/>
    <w:rsid w:val="00A22606"/>
    <w:rsid w:val="00A22662"/>
    <w:rsid w:val="00A22745"/>
    <w:rsid w:val="00A2294B"/>
    <w:rsid w:val="00A22A76"/>
    <w:rsid w:val="00A22B61"/>
    <w:rsid w:val="00A22C1B"/>
    <w:rsid w:val="00A22D0E"/>
    <w:rsid w:val="00A22E3F"/>
    <w:rsid w:val="00A22E6B"/>
    <w:rsid w:val="00A22F3D"/>
    <w:rsid w:val="00A230AB"/>
    <w:rsid w:val="00A238E3"/>
    <w:rsid w:val="00A23AAE"/>
    <w:rsid w:val="00A23B72"/>
    <w:rsid w:val="00A23FD1"/>
    <w:rsid w:val="00A240AE"/>
    <w:rsid w:val="00A24176"/>
    <w:rsid w:val="00A241B7"/>
    <w:rsid w:val="00A2439A"/>
    <w:rsid w:val="00A24428"/>
    <w:rsid w:val="00A24833"/>
    <w:rsid w:val="00A2499B"/>
    <w:rsid w:val="00A249FB"/>
    <w:rsid w:val="00A24B5C"/>
    <w:rsid w:val="00A24C3F"/>
    <w:rsid w:val="00A24C9B"/>
    <w:rsid w:val="00A24D57"/>
    <w:rsid w:val="00A24FCC"/>
    <w:rsid w:val="00A2516C"/>
    <w:rsid w:val="00A25179"/>
    <w:rsid w:val="00A252A2"/>
    <w:rsid w:val="00A2533E"/>
    <w:rsid w:val="00A254D1"/>
    <w:rsid w:val="00A25594"/>
    <w:rsid w:val="00A255B7"/>
    <w:rsid w:val="00A25AB2"/>
    <w:rsid w:val="00A25D2E"/>
    <w:rsid w:val="00A25EEA"/>
    <w:rsid w:val="00A2642D"/>
    <w:rsid w:val="00A2647F"/>
    <w:rsid w:val="00A264A4"/>
    <w:rsid w:val="00A2662C"/>
    <w:rsid w:val="00A26843"/>
    <w:rsid w:val="00A26853"/>
    <w:rsid w:val="00A268D5"/>
    <w:rsid w:val="00A2690B"/>
    <w:rsid w:val="00A26C20"/>
    <w:rsid w:val="00A26CD2"/>
    <w:rsid w:val="00A26CEB"/>
    <w:rsid w:val="00A26F36"/>
    <w:rsid w:val="00A2709F"/>
    <w:rsid w:val="00A272C5"/>
    <w:rsid w:val="00A27545"/>
    <w:rsid w:val="00A27639"/>
    <w:rsid w:val="00A27764"/>
    <w:rsid w:val="00A277BF"/>
    <w:rsid w:val="00A27808"/>
    <w:rsid w:val="00A27B29"/>
    <w:rsid w:val="00A27B89"/>
    <w:rsid w:val="00A27D6F"/>
    <w:rsid w:val="00A27EEE"/>
    <w:rsid w:val="00A27F30"/>
    <w:rsid w:val="00A300D8"/>
    <w:rsid w:val="00A3052E"/>
    <w:rsid w:val="00A305AD"/>
    <w:rsid w:val="00A30D08"/>
    <w:rsid w:val="00A30DB4"/>
    <w:rsid w:val="00A310B7"/>
    <w:rsid w:val="00A312DE"/>
    <w:rsid w:val="00A314BC"/>
    <w:rsid w:val="00A3160F"/>
    <w:rsid w:val="00A31681"/>
    <w:rsid w:val="00A316DB"/>
    <w:rsid w:val="00A3191F"/>
    <w:rsid w:val="00A31961"/>
    <w:rsid w:val="00A31964"/>
    <w:rsid w:val="00A31A76"/>
    <w:rsid w:val="00A31AD1"/>
    <w:rsid w:val="00A31B12"/>
    <w:rsid w:val="00A31C29"/>
    <w:rsid w:val="00A31DDE"/>
    <w:rsid w:val="00A31E46"/>
    <w:rsid w:val="00A31E81"/>
    <w:rsid w:val="00A320BF"/>
    <w:rsid w:val="00A321C1"/>
    <w:rsid w:val="00A321FB"/>
    <w:rsid w:val="00A321FE"/>
    <w:rsid w:val="00A322ED"/>
    <w:rsid w:val="00A325C5"/>
    <w:rsid w:val="00A32635"/>
    <w:rsid w:val="00A32679"/>
    <w:rsid w:val="00A327BF"/>
    <w:rsid w:val="00A32C90"/>
    <w:rsid w:val="00A32CD6"/>
    <w:rsid w:val="00A32D3F"/>
    <w:rsid w:val="00A32D42"/>
    <w:rsid w:val="00A32DB6"/>
    <w:rsid w:val="00A330B5"/>
    <w:rsid w:val="00A330CF"/>
    <w:rsid w:val="00A33360"/>
    <w:rsid w:val="00A3346D"/>
    <w:rsid w:val="00A3383E"/>
    <w:rsid w:val="00A3385C"/>
    <w:rsid w:val="00A33974"/>
    <w:rsid w:val="00A33C9F"/>
    <w:rsid w:val="00A33D3C"/>
    <w:rsid w:val="00A33F6C"/>
    <w:rsid w:val="00A342CE"/>
    <w:rsid w:val="00A34483"/>
    <w:rsid w:val="00A345A1"/>
    <w:rsid w:val="00A346C4"/>
    <w:rsid w:val="00A34749"/>
    <w:rsid w:val="00A349D8"/>
    <w:rsid w:val="00A34A22"/>
    <w:rsid w:val="00A34B41"/>
    <w:rsid w:val="00A34BA7"/>
    <w:rsid w:val="00A34C90"/>
    <w:rsid w:val="00A34CF2"/>
    <w:rsid w:val="00A34D1E"/>
    <w:rsid w:val="00A34E95"/>
    <w:rsid w:val="00A353A1"/>
    <w:rsid w:val="00A355C8"/>
    <w:rsid w:val="00A3565B"/>
    <w:rsid w:val="00A35B02"/>
    <w:rsid w:val="00A35EE4"/>
    <w:rsid w:val="00A35F11"/>
    <w:rsid w:val="00A35FB1"/>
    <w:rsid w:val="00A36118"/>
    <w:rsid w:val="00A3618D"/>
    <w:rsid w:val="00A362D9"/>
    <w:rsid w:val="00A363E3"/>
    <w:rsid w:val="00A366A2"/>
    <w:rsid w:val="00A36760"/>
    <w:rsid w:val="00A3677F"/>
    <w:rsid w:val="00A36802"/>
    <w:rsid w:val="00A369A7"/>
    <w:rsid w:val="00A36A0F"/>
    <w:rsid w:val="00A36A40"/>
    <w:rsid w:val="00A36B67"/>
    <w:rsid w:val="00A370A9"/>
    <w:rsid w:val="00A370B6"/>
    <w:rsid w:val="00A372D8"/>
    <w:rsid w:val="00A372F2"/>
    <w:rsid w:val="00A3739F"/>
    <w:rsid w:val="00A37468"/>
    <w:rsid w:val="00A37478"/>
    <w:rsid w:val="00A3759F"/>
    <w:rsid w:val="00A3772E"/>
    <w:rsid w:val="00A37963"/>
    <w:rsid w:val="00A37A98"/>
    <w:rsid w:val="00A37D04"/>
    <w:rsid w:val="00A37D83"/>
    <w:rsid w:val="00A37EDD"/>
    <w:rsid w:val="00A40275"/>
    <w:rsid w:val="00A40311"/>
    <w:rsid w:val="00A4044A"/>
    <w:rsid w:val="00A4074E"/>
    <w:rsid w:val="00A40754"/>
    <w:rsid w:val="00A407A4"/>
    <w:rsid w:val="00A40980"/>
    <w:rsid w:val="00A40AE8"/>
    <w:rsid w:val="00A40BFC"/>
    <w:rsid w:val="00A40C19"/>
    <w:rsid w:val="00A40F56"/>
    <w:rsid w:val="00A40F6E"/>
    <w:rsid w:val="00A41023"/>
    <w:rsid w:val="00A41148"/>
    <w:rsid w:val="00A41151"/>
    <w:rsid w:val="00A4118C"/>
    <w:rsid w:val="00A41469"/>
    <w:rsid w:val="00A41BAB"/>
    <w:rsid w:val="00A41CE5"/>
    <w:rsid w:val="00A41D0D"/>
    <w:rsid w:val="00A41EFF"/>
    <w:rsid w:val="00A42021"/>
    <w:rsid w:val="00A42329"/>
    <w:rsid w:val="00A42365"/>
    <w:rsid w:val="00A42548"/>
    <w:rsid w:val="00A425B7"/>
    <w:rsid w:val="00A425CC"/>
    <w:rsid w:val="00A4272E"/>
    <w:rsid w:val="00A42959"/>
    <w:rsid w:val="00A42A0B"/>
    <w:rsid w:val="00A42B4E"/>
    <w:rsid w:val="00A42BD1"/>
    <w:rsid w:val="00A42D3D"/>
    <w:rsid w:val="00A430D9"/>
    <w:rsid w:val="00A43625"/>
    <w:rsid w:val="00A43682"/>
    <w:rsid w:val="00A436DB"/>
    <w:rsid w:val="00A437B9"/>
    <w:rsid w:val="00A4381F"/>
    <w:rsid w:val="00A438B7"/>
    <w:rsid w:val="00A43A99"/>
    <w:rsid w:val="00A43AB0"/>
    <w:rsid w:val="00A43AED"/>
    <w:rsid w:val="00A43BF5"/>
    <w:rsid w:val="00A43CAB"/>
    <w:rsid w:val="00A43F7D"/>
    <w:rsid w:val="00A440EC"/>
    <w:rsid w:val="00A4424B"/>
    <w:rsid w:val="00A442F5"/>
    <w:rsid w:val="00A44791"/>
    <w:rsid w:val="00A44825"/>
    <w:rsid w:val="00A44CF0"/>
    <w:rsid w:val="00A44EFD"/>
    <w:rsid w:val="00A4506F"/>
    <w:rsid w:val="00A450E4"/>
    <w:rsid w:val="00A45114"/>
    <w:rsid w:val="00A4518A"/>
    <w:rsid w:val="00A452B8"/>
    <w:rsid w:val="00A4534F"/>
    <w:rsid w:val="00A457CF"/>
    <w:rsid w:val="00A457D8"/>
    <w:rsid w:val="00A4592E"/>
    <w:rsid w:val="00A4598F"/>
    <w:rsid w:val="00A459B5"/>
    <w:rsid w:val="00A45AE5"/>
    <w:rsid w:val="00A45AFA"/>
    <w:rsid w:val="00A45F7C"/>
    <w:rsid w:val="00A4605F"/>
    <w:rsid w:val="00A46523"/>
    <w:rsid w:val="00A46576"/>
    <w:rsid w:val="00A465FF"/>
    <w:rsid w:val="00A46634"/>
    <w:rsid w:val="00A46764"/>
    <w:rsid w:val="00A46769"/>
    <w:rsid w:val="00A468D3"/>
    <w:rsid w:val="00A469D9"/>
    <w:rsid w:val="00A46B67"/>
    <w:rsid w:val="00A46B77"/>
    <w:rsid w:val="00A46B79"/>
    <w:rsid w:val="00A46D6E"/>
    <w:rsid w:val="00A46E38"/>
    <w:rsid w:val="00A46FBB"/>
    <w:rsid w:val="00A47177"/>
    <w:rsid w:val="00A475A0"/>
    <w:rsid w:val="00A4771F"/>
    <w:rsid w:val="00A477BD"/>
    <w:rsid w:val="00A477D9"/>
    <w:rsid w:val="00A478FB"/>
    <w:rsid w:val="00A47B3A"/>
    <w:rsid w:val="00A47BA8"/>
    <w:rsid w:val="00A47D0D"/>
    <w:rsid w:val="00A47F6E"/>
    <w:rsid w:val="00A47F74"/>
    <w:rsid w:val="00A50165"/>
    <w:rsid w:val="00A5075C"/>
    <w:rsid w:val="00A50905"/>
    <w:rsid w:val="00A50CDC"/>
    <w:rsid w:val="00A50E2F"/>
    <w:rsid w:val="00A51192"/>
    <w:rsid w:val="00A51293"/>
    <w:rsid w:val="00A51362"/>
    <w:rsid w:val="00A51486"/>
    <w:rsid w:val="00A514A9"/>
    <w:rsid w:val="00A5151E"/>
    <w:rsid w:val="00A51A72"/>
    <w:rsid w:val="00A51EA9"/>
    <w:rsid w:val="00A5228D"/>
    <w:rsid w:val="00A522B4"/>
    <w:rsid w:val="00A5238A"/>
    <w:rsid w:val="00A52558"/>
    <w:rsid w:val="00A526CF"/>
    <w:rsid w:val="00A52898"/>
    <w:rsid w:val="00A529AC"/>
    <w:rsid w:val="00A52ACA"/>
    <w:rsid w:val="00A52CCF"/>
    <w:rsid w:val="00A52FB3"/>
    <w:rsid w:val="00A533B6"/>
    <w:rsid w:val="00A53465"/>
    <w:rsid w:val="00A536E7"/>
    <w:rsid w:val="00A5398C"/>
    <w:rsid w:val="00A53C16"/>
    <w:rsid w:val="00A53D49"/>
    <w:rsid w:val="00A53DF7"/>
    <w:rsid w:val="00A53E4C"/>
    <w:rsid w:val="00A540AE"/>
    <w:rsid w:val="00A543AB"/>
    <w:rsid w:val="00A543DF"/>
    <w:rsid w:val="00A5454A"/>
    <w:rsid w:val="00A54662"/>
    <w:rsid w:val="00A54789"/>
    <w:rsid w:val="00A54977"/>
    <w:rsid w:val="00A54A46"/>
    <w:rsid w:val="00A54CF8"/>
    <w:rsid w:val="00A54E60"/>
    <w:rsid w:val="00A54EBB"/>
    <w:rsid w:val="00A55467"/>
    <w:rsid w:val="00A55489"/>
    <w:rsid w:val="00A55592"/>
    <w:rsid w:val="00A556B2"/>
    <w:rsid w:val="00A55798"/>
    <w:rsid w:val="00A55B34"/>
    <w:rsid w:val="00A55DC1"/>
    <w:rsid w:val="00A55EE9"/>
    <w:rsid w:val="00A55F59"/>
    <w:rsid w:val="00A562F5"/>
    <w:rsid w:val="00A564E5"/>
    <w:rsid w:val="00A56578"/>
    <w:rsid w:val="00A56670"/>
    <w:rsid w:val="00A5692D"/>
    <w:rsid w:val="00A56C15"/>
    <w:rsid w:val="00A56EA8"/>
    <w:rsid w:val="00A57392"/>
    <w:rsid w:val="00A573F7"/>
    <w:rsid w:val="00A577D1"/>
    <w:rsid w:val="00A57938"/>
    <w:rsid w:val="00A579A8"/>
    <w:rsid w:val="00A57AE0"/>
    <w:rsid w:val="00A57BBC"/>
    <w:rsid w:val="00A57C22"/>
    <w:rsid w:val="00A57C45"/>
    <w:rsid w:val="00A57CAE"/>
    <w:rsid w:val="00A57F1E"/>
    <w:rsid w:val="00A57F29"/>
    <w:rsid w:val="00A57FC2"/>
    <w:rsid w:val="00A6035D"/>
    <w:rsid w:val="00A60456"/>
    <w:rsid w:val="00A604B1"/>
    <w:rsid w:val="00A604BE"/>
    <w:rsid w:val="00A604F7"/>
    <w:rsid w:val="00A60775"/>
    <w:rsid w:val="00A60841"/>
    <w:rsid w:val="00A60874"/>
    <w:rsid w:val="00A608D0"/>
    <w:rsid w:val="00A60B38"/>
    <w:rsid w:val="00A60C00"/>
    <w:rsid w:val="00A60D7C"/>
    <w:rsid w:val="00A60E7C"/>
    <w:rsid w:val="00A60FC9"/>
    <w:rsid w:val="00A61033"/>
    <w:rsid w:val="00A611D0"/>
    <w:rsid w:val="00A612B7"/>
    <w:rsid w:val="00A61385"/>
    <w:rsid w:val="00A617E0"/>
    <w:rsid w:val="00A6180C"/>
    <w:rsid w:val="00A61892"/>
    <w:rsid w:val="00A619DD"/>
    <w:rsid w:val="00A619FB"/>
    <w:rsid w:val="00A61AC6"/>
    <w:rsid w:val="00A61B6F"/>
    <w:rsid w:val="00A61BA4"/>
    <w:rsid w:val="00A61CB0"/>
    <w:rsid w:val="00A61F80"/>
    <w:rsid w:val="00A620FC"/>
    <w:rsid w:val="00A6213C"/>
    <w:rsid w:val="00A62310"/>
    <w:rsid w:val="00A6231E"/>
    <w:rsid w:val="00A623FE"/>
    <w:rsid w:val="00A6247D"/>
    <w:rsid w:val="00A62528"/>
    <w:rsid w:val="00A62560"/>
    <w:rsid w:val="00A62685"/>
    <w:rsid w:val="00A627D1"/>
    <w:rsid w:val="00A62889"/>
    <w:rsid w:val="00A628BB"/>
    <w:rsid w:val="00A62B16"/>
    <w:rsid w:val="00A62BBE"/>
    <w:rsid w:val="00A62F87"/>
    <w:rsid w:val="00A6311E"/>
    <w:rsid w:val="00A631AB"/>
    <w:rsid w:val="00A63241"/>
    <w:rsid w:val="00A63421"/>
    <w:rsid w:val="00A6347A"/>
    <w:rsid w:val="00A6353D"/>
    <w:rsid w:val="00A637A1"/>
    <w:rsid w:val="00A637A7"/>
    <w:rsid w:val="00A63B4F"/>
    <w:rsid w:val="00A63B82"/>
    <w:rsid w:val="00A63BF0"/>
    <w:rsid w:val="00A63C14"/>
    <w:rsid w:val="00A63CE1"/>
    <w:rsid w:val="00A63E2E"/>
    <w:rsid w:val="00A64097"/>
    <w:rsid w:val="00A640B4"/>
    <w:rsid w:val="00A641EA"/>
    <w:rsid w:val="00A64226"/>
    <w:rsid w:val="00A64239"/>
    <w:rsid w:val="00A64317"/>
    <w:rsid w:val="00A64334"/>
    <w:rsid w:val="00A64877"/>
    <w:rsid w:val="00A648BF"/>
    <w:rsid w:val="00A649B7"/>
    <w:rsid w:val="00A64A25"/>
    <w:rsid w:val="00A64A50"/>
    <w:rsid w:val="00A64A91"/>
    <w:rsid w:val="00A64B4C"/>
    <w:rsid w:val="00A64B87"/>
    <w:rsid w:val="00A64C0A"/>
    <w:rsid w:val="00A64CD9"/>
    <w:rsid w:val="00A64D37"/>
    <w:rsid w:val="00A64ED5"/>
    <w:rsid w:val="00A64EE9"/>
    <w:rsid w:val="00A64F17"/>
    <w:rsid w:val="00A64F36"/>
    <w:rsid w:val="00A65310"/>
    <w:rsid w:val="00A653B7"/>
    <w:rsid w:val="00A654B4"/>
    <w:rsid w:val="00A6566C"/>
    <w:rsid w:val="00A65981"/>
    <w:rsid w:val="00A659ED"/>
    <w:rsid w:val="00A65A29"/>
    <w:rsid w:val="00A65B37"/>
    <w:rsid w:val="00A65C21"/>
    <w:rsid w:val="00A65FFE"/>
    <w:rsid w:val="00A660B3"/>
    <w:rsid w:val="00A662A7"/>
    <w:rsid w:val="00A66319"/>
    <w:rsid w:val="00A664F9"/>
    <w:rsid w:val="00A66590"/>
    <w:rsid w:val="00A665FA"/>
    <w:rsid w:val="00A66650"/>
    <w:rsid w:val="00A66734"/>
    <w:rsid w:val="00A6695B"/>
    <w:rsid w:val="00A66ACB"/>
    <w:rsid w:val="00A66EB8"/>
    <w:rsid w:val="00A66F3D"/>
    <w:rsid w:val="00A66F7B"/>
    <w:rsid w:val="00A66FCC"/>
    <w:rsid w:val="00A670E0"/>
    <w:rsid w:val="00A670FB"/>
    <w:rsid w:val="00A67101"/>
    <w:rsid w:val="00A67166"/>
    <w:rsid w:val="00A6725F"/>
    <w:rsid w:val="00A672BB"/>
    <w:rsid w:val="00A6740A"/>
    <w:rsid w:val="00A675B7"/>
    <w:rsid w:val="00A67716"/>
    <w:rsid w:val="00A677F7"/>
    <w:rsid w:val="00A67B13"/>
    <w:rsid w:val="00A67B34"/>
    <w:rsid w:val="00A67B6D"/>
    <w:rsid w:val="00A67BCC"/>
    <w:rsid w:val="00A67C72"/>
    <w:rsid w:val="00A67C73"/>
    <w:rsid w:val="00A67D08"/>
    <w:rsid w:val="00A67EE7"/>
    <w:rsid w:val="00A67F31"/>
    <w:rsid w:val="00A700AB"/>
    <w:rsid w:val="00A701FA"/>
    <w:rsid w:val="00A7022B"/>
    <w:rsid w:val="00A70574"/>
    <w:rsid w:val="00A706AA"/>
    <w:rsid w:val="00A70759"/>
    <w:rsid w:val="00A7097D"/>
    <w:rsid w:val="00A70CAF"/>
    <w:rsid w:val="00A70D15"/>
    <w:rsid w:val="00A70DE9"/>
    <w:rsid w:val="00A7102A"/>
    <w:rsid w:val="00A71210"/>
    <w:rsid w:val="00A712F3"/>
    <w:rsid w:val="00A712FA"/>
    <w:rsid w:val="00A713F8"/>
    <w:rsid w:val="00A714AB"/>
    <w:rsid w:val="00A71582"/>
    <w:rsid w:val="00A715F6"/>
    <w:rsid w:val="00A7178D"/>
    <w:rsid w:val="00A71798"/>
    <w:rsid w:val="00A71A67"/>
    <w:rsid w:val="00A71ACE"/>
    <w:rsid w:val="00A71B11"/>
    <w:rsid w:val="00A71D39"/>
    <w:rsid w:val="00A71D9E"/>
    <w:rsid w:val="00A72085"/>
    <w:rsid w:val="00A7209F"/>
    <w:rsid w:val="00A7225B"/>
    <w:rsid w:val="00A72373"/>
    <w:rsid w:val="00A7257B"/>
    <w:rsid w:val="00A726DD"/>
    <w:rsid w:val="00A729A1"/>
    <w:rsid w:val="00A72B17"/>
    <w:rsid w:val="00A72B4B"/>
    <w:rsid w:val="00A72C0D"/>
    <w:rsid w:val="00A72D2D"/>
    <w:rsid w:val="00A72EEA"/>
    <w:rsid w:val="00A72F8D"/>
    <w:rsid w:val="00A7319F"/>
    <w:rsid w:val="00A732BD"/>
    <w:rsid w:val="00A73571"/>
    <w:rsid w:val="00A73690"/>
    <w:rsid w:val="00A73700"/>
    <w:rsid w:val="00A7383B"/>
    <w:rsid w:val="00A7391B"/>
    <w:rsid w:val="00A73CEC"/>
    <w:rsid w:val="00A73D3B"/>
    <w:rsid w:val="00A73D4A"/>
    <w:rsid w:val="00A73EE5"/>
    <w:rsid w:val="00A740F1"/>
    <w:rsid w:val="00A741B3"/>
    <w:rsid w:val="00A74323"/>
    <w:rsid w:val="00A745F9"/>
    <w:rsid w:val="00A7477E"/>
    <w:rsid w:val="00A749EA"/>
    <w:rsid w:val="00A74B55"/>
    <w:rsid w:val="00A74C44"/>
    <w:rsid w:val="00A74D9B"/>
    <w:rsid w:val="00A74E91"/>
    <w:rsid w:val="00A74EF7"/>
    <w:rsid w:val="00A74F8A"/>
    <w:rsid w:val="00A75039"/>
    <w:rsid w:val="00A75375"/>
    <w:rsid w:val="00A7596D"/>
    <w:rsid w:val="00A76329"/>
    <w:rsid w:val="00A7667A"/>
    <w:rsid w:val="00A769B6"/>
    <w:rsid w:val="00A76A1F"/>
    <w:rsid w:val="00A76D65"/>
    <w:rsid w:val="00A76DC8"/>
    <w:rsid w:val="00A76ECD"/>
    <w:rsid w:val="00A76F00"/>
    <w:rsid w:val="00A77203"/>
    <w:rsid w:val="00A77213"/>
    <w:rsid w:val="00A7758A"/>
    <w:rsid w:val="00A776D8"/>
    <w:rsid w:val="00A778CB"/>
    <w:rsid w:val="00A77994"/>
    <w:rsid w:val="00A77A12"/>
    <w:rsid w:val="00A77B68"/>
    <w:rsid w:val="00A77E48"/>
    <w:rsid w:val="00A8036D"/>
    <w:rsid w:val="00A8052F"/>
    <w:rsid w:val="00A80532"/>
    <w:rsid w:val="00A8058E"/>
    <w:rsid w:val="00A8072F"/>
    <w:rsid w:val="00A809FE"/>
    <w:rsid w:val="00A80AA5"/>
    <w:rsid w:val="00A80E68"/>
    <w:rsid w:val="00A80FFA"/>
    <w:rsid w:val="00A811CE"/>
    <w:rsid w:val="00A812F1"/>
    <w:rsid w:val="00A8133B"/>
    <w:rsid w:val="00A81374"/>
    <w:rsid w:val="00A8148A"/>
    <w:rsid w:val="00A814AA"/>
    <w:rsid w:val="00A814D4"/>
    <w:rsid w:val="00A81520"/>
    <w:rsid w:val="00A8154D"/>
    <w:rsid w:val="00A81558"/>
    <w:rsid w:val="00A81737"/>
    <w:rsid w:val="00A81B23"/>
    <w:rsid w:val="00A81C34"/>
    <w:rsid w:val="00A81E34"/>
    <w:rsid w:val="00A81EFA"/>
    <w:rsid w:val="00A82373"/>
    <w:rsid w:val="00A823B8"/>
    <w:rsid w:val="00A82523"/>
    <w:rsid w:val="00A8256C"/>
    <w:rsid w:val="00A8284B"/>
    <w:rsid w:val="00A82874"/>
    <w:rsid w:val="00A82A84"/>
    <w:rsid w:val="00A82AC3"/>
    <w:rsid w:val="00A82BDD"/>
    <w:rsid w:val="00A82C09"/>
    <w:rsid w:val="00A82CFC"/>
    <w:rsid w:val="00A82EC9"/>
    <w:rsid w:val="00A82EEA"/>
    <w:rsid w:val="00A82F2C"/>
    <w:rsid w:val="00A82FEA"/>
    <w:rsid w:val="00A8324A"/>
    <w:rsid w:val="00A83273"/>
    <w:rsid w:val="00A833BE"/>
    <w:rsid w:val="00A833DF"/>
    <w:rsid w:val="00A83450"/>
    <w:rsid w:val="00A83551"/>
    <w:rsid w:val="00A83577"/>
    <w:rsid w:val="00A835C4"/>
    <w:rsid w:val="00A83723"/>
    <w:rsid w:val="00A83774"/>
    <w:rsid w:val="00A83916"/>
    <w:rsid w:val="00A83AA5"/>
    <w:rsid w:val="00A83ADA"/>
    <w:rsid w:val="00A83B5E"/>
    <w:rsid w:val="00A83CD6"/>
    <w:rsid w:val="00A83DD5"/>
    <w:rsid w:val="00A83F2B"/>
    <w:rsid w:val="00A840DA"/>
    <w:rsid w:val="00A84448"/>
    <w:rsid w:val="00A8450E"/>
    <w:rsid w:val="00A8453E"/>
    <w:rsid w:val="00A84586"/>
    <w:rsid w:val="00A8491D"/>
    <w:rsid w:val="00A84994"/>
    <w:rsid w:val="00A84A00"/>
    <w:rsid w:val="00A84DEB"/>
    <w:rsid w:val="00A85434"/>
    <w:rsid w:val="00A854CD"/>
    <w:rsid w:val="00A856ED"/>
    <w:rsid w:val="00A85703"/>
    <w:rsid w:val="00A858C0"/>
    <w:rsid w:val="00A85AC8"/>
    <w:rsid w:val="00A85B20"/>
    <w:rsid w:val="00A85C20"/>
    <w:rsid w:val="00A85CF0"/>
    <w:rsid w:val="00A85F63"/>
    <w:rsid w:val="00A8645A"/>
    <w:rsid w:val="00A86490"/>
    <w:rsid w:val="00A8662B"/>
    <w:rsid w:val="00A866B8"/>
    <w:rsid w:val="00A86A04"/>
    <w:rsid w:val="00A86A2F"/>
    <w:rsid w:val="00A86AAC"/>
    <w:rsid w:val="00A86BDA"/>
    <w:rsid w:val="00A86CAA"/>
    <w:rsid w:val="00A86D13"/>
    <w:rsid w:val="00A86FED"/>
    <w:rsid w:val="00A87257"/>
    <w:rsid w:val="00A8746D"/>
    <w:rsid w:val="00A8786D"/>
    <w:rsid w:val="00A8796D"/>
    <w:rsid w:val="00A87C6B"/>
    <w:rsid w:val="00A87CE1"/>
    <w:rsid w:val="00A87D53"/>
    <w:rsid w:val="00A87E58"/>
    <w:rsid w:val="00A87E8B"/>
    <w:rsid w:val="00A87FBA"/>
    <w:rsid w:val="00A87FFC"/>
    <w:rsid w:val="00A900CF"/>
    <w:rsid w:val="00A90118"/>
    <w:rsid w:val="00A90202"/>
    <w:rsid w:val="00A90217"/>
    <w:rsid w:val="00A9026B"/>
    <w:rsid w:val="00A90295"/>
    <w:rsid w:val="00A903C2"/>
    <w:rsid w:val="00A90431"/>
    <w:rsid w:val="00A90503"/>
    <w:rsid w:val="00A9058F"/>
    <w:rsid w:val="00A905B6"/>
    <w:rsid w:val="00A90771"/>
    <w:rsid w:val="00A908DE"/>
    <w:rsid w:val="00A90961"/>
    <w:rsid w:val="00A90A59"/>
    <w:rsid w:val="00A90A66"/>
    <w:rsid w:val="00A90D1D"/>
    <w:rsid w:val="00A90D7C"/>
    <w:rsid w:val="00A91118"/>
    <w:rsid w:val="00A91182"/>
    <w:rsid w:val="00A911D9"/>
    <w:rsid w:val="00A91487"/>
    <w:rsid w:val="00A91709"/>
    <w:rsid w:val="00A91751"/>
    <w:rsid w:val="00A918DC"/>
    <w:rsid w:val="00A91ACA"/>
    <w:rsid w:val="00A91AF9"/>
    <w:rsid w:val="00A91C54"/>
    <w:rsid w:val="00A91EE3"/>
    <w:rsid w:val="00A91FCE"/>
    <w:rsid w:val="00A92026"/>
    <w:rsid w:val="00A9202D"/>
    <w:rsid w:val="00A92042"/>
    <w:rsid w:val="00A92128"/>
    <w:rsid w:val="00A92205"/>
    <w:rsid w:val="00A92273"/>
    <w:rsid w:val="00A924B7"/>
    <w:rsid w:val="00A9250F"/>
    <w:rsid w:val="00A92512"/>
    <w:rsid w:val="00A926D8"/>
    <w:rsid w:val="00A92989"/>
    <w:rsid w:val="00A929A1"/>
    <w:rsid w:val="00A929FF"/>
    <w:rsid w:val="00A92E1A"/>
    <w:rsid w:val="00A92E5A"/>
    <w:rsid w:val="00A92F5A"/>
    <w:rsid w:val="00A92F92"/>
    <w:rsid w:val="00A92FDA"/>
    <w:rsid w:val="00A9304B"/>
    <w:rsid w:val="00A932CA"/>
    <w:rsid w:val="00A93440"/>
    <w:rsid w:val="00A93D3A"/>
    <w:rsid w:val="00A94028"/>
    <w:rsid w:val="00A94045"/>
    <w:rsid w:val="00A941D8"/>
    <w:rsid w:val="00A9423B"/>
    <w:rsid w:val="00A945DE"/>
    <w:rsid w:val="00A9467A"/>
    <w:rsid w:val="00A94734"/>
    <w:rsid w:val="00A947EE"/>
    <w:rsid w:val="00A94B6B"/>
    <w:rsid w:val="00A94E8B"/>
    <w:rsid w:val="00A94F30"/>
    <w:rsid w:val="00A94F74"/>
    <w:rsid w:val="00A95070"/>
    <w:rsid w:val="00A951A5"/>
    <w:rsid w:val="00A951BE"/>
    <w:rsid w:val="00A95269"/>
    <w:rsid w:val="00A952AD"/>
    <w:rsid w:val="00A9534D"/>
    <w:rsid w:val="00A95384"/>
    <w:rsid w:val="00A95472"/>
    <w:rsid w:val="00A9556F"/>
    <w:rsid w:val="00A958CD"/>
    <w:rsid w:val="00A95AF0"/>
    <w:rsid w:val="00A95BC4"/>
    <w:rsid w:val="00A95BFB"/>
    <w:rsid w:val="00A95F71"/>
    <w:rsid w:val="00A95FC7"/>
    <w:rsid w:val="00A96088"/>
    <w:rsid w:val="00A96450"/>
    <w:rsid w:val="00A96461"/>
    <w:rsid w:val="00A96509"/>
    <w:rsid w:val="00A965E7"/>
    <w:rsid w:val="00A96B86"/>
    <w:rsid w:val="00A96BD6"/>
    <w:rsid w:val="00A96C39"/>
    <w:rsid w:val="00A96D40"/>
    <w:rsid w:val="00A96F51"/>
    <w:rsid w:val="00A96FD9"/>
    <w:rsid w:val="00A970DD"/>
    <w:rsid w:val="00A971EF"/>
    <w:rsid w:val="00A972D5"/>
    <w:rsid w:val="00A97403"/>
    <w:rsid w:val="00A97517"/>
    <w:rsid w:val="00A976BC"/>
    <w:rsid w:val="00A978B5"/>
    <w:rsid w:val="00A9793F"/>
    <w:rsid w:val="00A97BE4"/>
    <w:rsid w:val="00A97CA4"/>
    <w:rsid w:val="00A97D4B"/>
    <w:rsid w:val="00A97F59"/>
    <w:rsid w:val="00A97FC3"/>
    <w:rsid w:val="00AA00EC"/>
    <w:rsid w:val="00AA019C"/>
    <w:rsid w:val="00AA01E6"/>
    <w:rsid w:val="00AA03BF"/>
    <w:rsid w:val="00AA03FE"/>
    <w:rsid w:val="00AA05CE"/>
    <w:rsid w:val="00AA05D3"/>
    <w:rsid w:val="00AA073E"/>
    <w:rsid w:val="00AA0AB3"/>
    <w:rsid w:val="00AA0AD6"/>
    <w:rsid w:val="00AA0CF6"/>
    <w:rsid w:val="00AA0DAE"/>
    <w:rsid w:val="00AA0F37"/>
    <w:rsid w:val="00AA118C"/>
    <w:rsid w:val="00AA1433"/>
    <w:rsid w:val="00AA16AE"/>
    <w:rsid w:val="00AA1761"/>
    <w:rsid w:val="00AA17CE"/>
    <w:rsid w:val="00AA1920"/>
    <w:rsid w:val="00AA1B19"/>
    <w:rsid w:val="00AA1BD8"/>
    <w:rsid w:val="00AA1CAC"/>
    <w:rsid w:val="00AA1CD7"/>
    <w:rsid w:val="00AA1F2E"/>
    <w:rsid w:val="00AA2120"/>
    <w:rsid w:val="00AA2253"/>
    <w:rsid w:val="00AA23C8"/>
    <w:rsid w:val="00AA28EB"/>
    <w:rsid w:val="00AA2967"/>
    <w:rsid w:val="00AA2A83"/>
    <w:rsid w:val="00AA2B94"/>
    <w:rsid w:val="00AA2D7A"/>
    <w:rsid w:val="00AA2EF8"/>
    <w:rsid w:val="00AA30B3"/>
    <w:rsid w:val="00AA3106"/>
    <w:rsid w:val="00AA31AE"/>
    <w:rsid w:val="00AA3320"/>
    <w:rsid w:val="00AA3451"/>
    <w:rsid w:val="00AA35B8"/>
    <w:rsid w:val="00AA3786"/>
    <w:rsid w:val="00AA3798"/>
    <w:rsid w:val="00AA3943"/>
    <w:rsid w:val="00AA3978"/>
    <w:rsid w:val="00AA399E"/>
    <w:rsid w:val="00AA39D8"/>
    <w:rsid w:val="00AA3A76"/>
    <w:rsid w:val="00AA3ADA"/>
    <w:rsid w:val="00AA3B69"/>
    <w:rsid w:val="00AA3C13"/>
    <w:rsid w:val="00AA40FA"/>
    <w:rsid w:val="00AA41A4"/>
    <w:rsid w:val="00AA41B9"/>
    <w:rsid w:val="00AA42CD"/>
    <w:rsid w:val="00AA43F7"/>
    <w:rsid w:val="00AA4695"/>
    <w:rsid w:val="00AA4739"/>
    <w:rsid w:val="00AA4756"/>
    <w:rsid w:val="00AA4762"/>
    <w:rsid w:val="00AA47E7"/>
    <w:rsid w:val="00AA4A42"/>
    <w:rsid w:val="00AA4A4D"/>
    <w:rsid w:val="00AA4CAB"/>
    <w:rsid w:val="00AA4E35"/>
    <w:rsid w:val="00AA5040"/>
    <w:rsid w:val="00AA50A5"/>
    <w:rsid w:val="00AA50FA"/>
    <w:rsid w:val="00AA5104"/>
    <w:rsid w:val="00AA5189"/>
    <w:rsid w:val="00AA5310"/>
    <w:rsid w:val="00AA53EE"/>
    <w:rsid w:val="00AA555D"/>
    <w:rsid w:val="00AA55D9"/>
    <w:rsid w:val="00AA5695"/>
    <w:rsid w:val="00AA5783"/>
    <w:rsid w:val="00AA58C5"/>
    <w:rsid w:val="00AA59C8"/>
    <w:rsid w:val="00AA5AD6"/>
    <w:rsid w:val="00AA5ECD"/>
    <w:rsid w:val="00AA62A0"/>
    <w:rsid w:val="00AA63A8"/>
    <w:rsid w:val="00AA63F6"/>
    <w:rsid w:val="00AA64E9"/>
    <w:rsid w:val="00AA64FF"/>
    <w:rsid w:val="00AA6594"/>
    <w:rsid w:val="00AA66DB"/>
    <w:rsid w:val="00AA67B0"/>
    <w:rsid w:val="00AA67D6"/>
    <w:rsid w:val="00AA68D4"/>
    <w:rsid w:val="00AA6942"/>
    <w:rsid w:val="00AA69D1"/>
    <w:rsid w:val="00AA6DF9"/>
    <w:rsid w:val="00AA7142"/>
    <w:rsid w:val="00AA71B0"/>
    <w:rsid w:val="00AA7426"/>
    <w:rsid w:val="00AA7498"/>
    <w:rsid w:val="00AA7AF5"/>
    <w:rsid w:val="00AA7B0D"/>
    <w:rsid w:val="00AA7B2C"/>
    <w:rsid w:val="00AA7BE4"/>
    <w:rsid w:val="00AA7F20"/>
    <w:rsid w:val="00AB01B8"/>
    <w:rsid w:val="00AB0581"/>
    <w:rsid w:val="00AB05FC"/>
    <w:rsid w:val="00AB06C6"/>
    <w:rsid w:val="00AB0748"/>
    <w:rsid w:val="00AB07A7"/>
    <w:rsid w:val="00AB0908"/>
    <w:rsid w:val="00AB09B2"/>
    <w:rsid w:val="00AB0A17"/>
    <w:rsid w:val="00AB0AF9"/>
    <w:rsid w:val="00AB0BB0"/>
    <w:rsid w:val="00AB0DBA"/>
    <w:rsid w:val="00AB0EA9"/>
    <w:rsid w:val="00AB1165"/>
    <w:rsid w:val="00AB11A9"/>
    <w:rsid w:val="00AB11C3"/>
    <w:rsid w:val="00AB11D7"/>
    <w:rsid w:val="00AB1205"/>
    <w:rsid w:val="00AB12C7"/>
    <w:rsid w:val="00AB13EC"/>
    <w:rsid w:val="00AB1537"/>
    <w:rsid w:val="00AB1610"/>
    <w:rsid w:val="00AB192D"/>
    <w:rsid w:val="00AB1A07"/>
    <w:rsid w:val="00AB1B69"/>
    <w:rsid w:val="00AB1BC7"/>
    <w:rsid w:val="00AB1D8E"/>
    <w:rsid w:val="00AB1F9B"/>
    <w:rsid w:val="00AB1FAF"/>
    <w:rsid w:val="00AB208D"/>
    <w:rsid w:val="00AB23C5"/>
    <w:rsid w:val="00AB25C4"/>
    <w:rsid w:val="00AB272C"/>
    <w:rsid w:val="00AB293B"/>
    <w:rsid w:val="00AB2A22"/>
    <w:rsid w:val="00AB2A78"/>
    <w:rsid w:val="00AB2DE7"/>
    <w:rsid w:val="00AB2E2A"/>
    <w:rsid w:val="00AB2F4A"/>
    <w:rsid w:val="00AB2F7E"/>
    <w:rsid w:val="00AB3048"/>
    <w:rsid w:val="00AB30EA"/>
    <w:rsid w:val="00AB30F0"/>
    <w:rsid w:val="00AB3100"/>
    <w:rsid w:val="00AB3149"/>
    <w:rsid w:val="00AB326F"/>
    <w:rsid w:val="00AB34F9"/>
    <w:rsid w:val="00AB35CF"/>
    <w:rsid w:val="00AB3720"/>
    <w:rsid w:val="00AB37C2"/>
    <w:rsid w:val="00AB38A7"/>
    <w:rsid w:val="00AB3A42"/>
    <w:rsid w:val="00AB3AA9"/>
    <w:rsid w:val="00AB3B42"/>
    <w:rsid w:val="00AB3C01"/>
    <w:rsid w:val="00AB3CB7"/>
    <w:rsid w:val="00AB3D32"/>
    <w:rsid w:val="00AB3DC8"/>
    <w:rsid w:val="00AB3E6D"/>
    <w:rsid w:val="00AB402F"/>
    <w:rsid w:val="00AB434C"/>
    <w:rsid w:val="00AB440B"/>
    <w:rsid w:val="00AB46FE"/>
    <w:rsid w:val="00AB47C4"/>
    <w:rsid w:val="00AB47E9"/>
    <w:rsid w:val="00AB4B72"/>
    <w:rsid w:val="00AB4D33"/>
    <w:rsid w:val="00AB4E35"/>
    <w:rsid w:val="00AB4F5D"/>
    <w:rsid w:val="00AB4F87"/>
    <w:rsid w:val="00AB4FEB"/>
    <w:rsid w:val="00AB54C7"/>
    <w:rsid w:val="00AB566A"/>
    <w:rsid w:val="00AB566D"/>
    <w:rsid w:val="00AB58BA"/>
    <w:rsid w:val="00AB5F67"/>
    <w:rsid w:val="00AB5FFA"/>
    <w:rsid w:val="00AB6075"/>
    <w:rsid w:val="00AB6175"/>
    <w:rsid w:val="00AB632D"/>
    <w:rsid w:val="00AB63F6"/>
    <w:rsid w:val="00AB672F"/>
    <w:rsid w:val="00AB67A4"/>
    <w:rsid w:val="00AB6963"/>
    <w:rsid w:val="00AB6A0C"/>
    <w:rsid w:val="00AB6F88"/>
    <w:rsid w:val="00AB700E"/>
    <w:rsid w:val="00AB7193"/>
    <w:rsid w:val="00AB71D0"/>
    <w:rsid w:val="00AB71E0"/>
    <w:rsid w:val="00AB7251"/>
    <w:rsid w:val="00AB7374"/>
    <w:rsid w:val="00AB73EA"/>
    <w:rsid w:val="00AB7608"/>
    <w:rsid w:val="00AB76EB"/>
    <w:rsid w:val="00AB7945"/>
    <w:rsid w:val="00AB7A2D"/>
    <w:rsid w:val="00AB7A50"/>
    <w:rsid w:val="00AB7B2C"/>
    <w:rsid w:val="00AB7E69"/>
    <w:rsid w:val="00AC00EF"/>
    <w:rsid w:val="00AC03B2"/>
    <w:rsid w:val="00AC03C4"/>
    <w:rsid w:val="00AC0435"/>
    <w:rsid w:val="00AC071C"/>
    <w:rsid w:val="00AC0780"/>
    <w:rsid w:val="00AC07F2"/>
    <w:rsid w:val="00AC09E7"/>
    <w:rsid w:val="00AC0C10"/>
    <w:rsid w:val="00AC11AA"/>
    <w:rsid w:val="00AC133F"/>
    <w:rsid w:val="00AC13A7"/>
    <w:rsid w:val="00AC13B5"/>
    <w:rsid w:val="00AC13E2"/>
    <w:rsid w:val="00AC184A"/>
    <w:rsid w:val="00AC19CA"/>
    <w:rsid w:val="00AC1AB8"/>
    <w:rsid w:val="00AC1C2A"/>
    <w:rsid w:val="00AC1C39"/>
    <w:rsid w:val="00AC1E15"/>
    <w:rsid w:val="00AC1E18"/>
    <w:rsid w:val="00AC1E2D"/>
    <w:rsid w:val="00AC1F95"/>
    <w:rsid w:val="00AC2042"/>
    <w:rsid w:val="00AC2383"/>
    <w:rsid w:val="00AC2395"/>
    <w:rsid w:val="00AC2460"/>
    <w:rsid w:val="00AC25FA"/>
    <w:rsid w:val="00AC267D"/>
    <w:rsid w:val="00AC26C8"/>
    <w:rsid w:val="00AC27A0"/>
    <w:rsid w:val="00AC2881"/>
    <w:rsid w:val="00AC2A91"/>
    <w:rsid w:val="00AC2C19"/>
    <w:rsid w:val="00AC2C1D"/>
    <w:rsid w:val="00AC2CF4"/>
    <w:rsid w:val="00AC2CFE"/>
    <w:rsid w:val="00AC2DA3"/>
    <w:rsid w:val="00AC30B5"/>
    <w:rsid w:val="00AC30BA"/>
    <w:rsid w:val="00AC31BC"/>
    <w:rsid w:val="00AC320B"/>
    <w:rsid w:val="00AC3462"/>
    <w:rsid w:val="00AC3473"/>
    <w:rsid w:val="00AC3688"/>
    <w:rsid w:val="00AC37EA"/>
    <w:rsid w:val="00AC38C5"/>
    <w:rsid w:val="00AC3912"/>
    <w:rsid w:val="00AC3989"/>
    <w:rsid w:val="00AC3A4B"/>
    <w:rsid w:val="00AC3C0B"/>
    <w:rsid w:val="00AC3C8B"/>
    <w:rsid w:val="00AC3CE7"/>
    <w:rsid w:val="00AC3D28"/>
    <w:rsid w:val="00AC3D60"/>
    <w:rsid w:val="00AC425D"/>
    <w:rsid w:val="00AC43AB"/>
    <w:rsid w:val="00AC43D5"/>
    <w:rsid w:val="00AC45AE"/>
    <w:rsid w:val="00AC46C6"/>
    <w:rsid w:val="00AC46CD"/>
    <w:rsid w:val="00AC4835"/>
    <w:rsid w:val="00AC4A85"/>
    <w:rsid w:val="00AC4BA8"/>
    <w:rsid w:val="00AC5139"/>
    <w:rsid w:val="00AC557B"/>
    <w:rsid w:val="00AC57B5"/>
    <w:rsid w:val="00AC57E9"/>
    <w:rsid w:val="00AC585B"/>
    <w:rsid w:val="00AC59BE"/>
    <w:rsid w:val="00AC59C0"/>
    <w:rsid w:val="00AC5AAC"/>
    <w:rsid w:val="00AC5B86"/>
    <w:rsid w:val="00AC5C7D"/>
    <w:rsid w:val="00AC5F10"/>
    <w:rsid w:val="00AC5FCF"/>
    <w:rsid w:val="00AC6080"/>
    <w:rsid w:val="00AC621B"/>
    <w:rsid w:val="00AC6478"/>
    <w:rsid w:val="00AC64ED"/>
    <w:rsid w:val="00AC6632"/>
    <w:rsid w:val="00AC68D8"/>
    <w:rsid w:val="00AC6973"/>
    <w:rsid w:val="00AC6ABA"/>
    <w:rsid w:val="00AC6B32"/>
    <w:rsid w:val="00AC6B50"/>
    <w:rsid w:val="00AC6CAA"/>
    <w:rsid w:val="00AC6E92"/>
    <w:rsid w:val="00AC6ECA"/>
    <w:rsid w:val="00AC6FB9"/>
    <w:rsid w:val="00AC6FF8"/>
    <w:rsid w:val="00AC70A2"/>
    <w:rsid w:val="00AC7448"/>
    <w:rsid w:val="00AC756F"/>
    <w:rsid w:val="00AC763F"/>
    <w:rsid w:val="00AC76C9"/>
    <w:rsid w:val="00AC781A"/>
    <w:rsid w:val="00AC788F"/>
    <w:rsid w:val="00AC79C1"/>
    <w:rsid w:val="00AC7B2F"/>
    <w:rsid w:val="00AC7B64"/>
    <w:rsid w:val="00AC7CF9"/>
    <w:rsid w:val="00AC7D02"/>
    <w:rsid w:val="00AC7E67"/>
    <w:rsid w:val="00AD0017"/>
    <w:rsid w:val="00AD0072"/>
    <w:rsid w:val="00AD0081"/>
    <w:rsid w:val="00AD0136"/>
    <w:rsid w:val="00AD01D1"/>
    <w:rsid w:val="00AD04DC"/>
    <w:rsid w:val="00AD0784"/>
    <w:rsid w:val="00AD07C9"/>
    <w:rsid w:val="00AD09D0"/>
    <w:rsid w:val="00AD0BB6"/>
    <w:rsid w:val="00AD0C61"/>
    <w:rsid w:val="00AD0D80"/>
    <w:rsid w:val="00AD14D0"/>
    <w:rsid w:val="00AD1564"/>
    <w:rsid w:val="00AD156A"/>
    <w:rsid w:val="00AD1614"/>
    <w:rsid w:val="00AD1641"/>
    <w:rsid w:val="00AD1773"/>
    <w:rsid w:val="00AD1B30"/>
    <w:rsid w:val="00AD1C5E"/>
    <w:rsid w:val="00AD21CB"/>
    <w:rsid w:val="00AD2219"/>
    <w:rsid w:val="00AD2248"/>
    <w:rsid w:val="00AD228E"/>
    <w:rsid w:val="00AD23D5"/>
    <w:rsid w:val="00AD244B"/>
    <w:rsid w:val="00AD251C"/>
    <w:rsid w:val="00AD25CD"/>
    <w:rsid w:val="00AD270E"/>
    <w:rsid w:val="00AD2762"/>
    <w:rsid w:val="00AD27ED"/>
    <w:rsid w:val="00AD2CB0"/>
    <w:rsid w:val="00AD2CD0"/>
    <w:rsid w:val="00AD2F3C"/>
    <w:rsid w:val="00AD2F44"/>
    <w:rsid w:val="00AD2FB4"/>
    <w:rsid w:val="00AD3010"/>
    <w:rsid w:val="00AD3028"/>
    <w:rsid w:val="00AD303A"/>
    <w:rsid w:val="00AD3190"/>
    <w:rsid w:val="00AD3412"/>
    <w:rsid w:val="00AD378E"/>
    <w:rsid w:val="00AD39DE"/>
    <w:rsid w:val="00AD39E0"/>
    <w:rsid w:val="00AD3B0D"/>
    <w:rsid w:val="00AD3CD8"/>
    <w:rsid w:val="00AD3DFD"/>
    <w:rsid w:val="00AD3E68"/>
    <w:rsid w:val="00AD403F"/>
    <w:rsid w:val="00AD415E"/>
    <w:rsid w:val="00AD43BE"/>
    <w:rsid w:val="00AD44C3"/>
    <w:rsid w:val="00AD45E7"/>
    <w:rsid w:val="00AD4686"/>
    <w:rsid w:val="00AD4866"/>
    <w:rsid w:val="00AD497D"/>
    <w:rsid w:val="00AD4C24"/>
    <w:rsid w:val="00AD4E96"/>
    <w:rsid w:val="00AD4F94"/>
    <w:rsid w:val="00AD507C"/>
    <w:rsid w:val="00AD5190"/>
    <w:rsid w:val="00AD51F5"/>
    <w:rsid w:val="00AD5287"/>
    <w:rsid w:val="00AD52F5"/>
    <w:rsid w:val="00AD53BE"/>
    <w:rsid w:val="00AD53D1"/>
    <w:rsid w:val="00AD53DC"/>
    <w:rsid w:val="00AD5735"/>
    <w:rsid w:val="00AD5794"/>
    <w:rsid w:val="00AD58E5"/>
    <w:rsid w:val="00AD5AE9"/>
    <w:rsid w:val="00AD5CCD"/>
    <w:rsid w:val="00AD61D4"/>
    <w:rsid w:val="00AD6216"/>
    <w:rsid w:val="00AD63DC"/>
    <w:rsid w:val="00AD6520"/>
    <w:rsid w:val="00AD6906"/>
    <w:rsid w:val="00AD6978"/>
    <w:rsid w:val="00AD698F"/>
    <w:rsid w:val="00AD6C33"/>
    <w:rsid w:val="00AD6DA2"/>
    <w:rsid w:val="00AD6DFA"/>
    <w:rsid w:val="00AD6F3F"/>
    <w:rsid w:val="00AD7057"/>
    <w:rsid w:val="00AD7166"/>
    <w:rsid w:val="00AD7249"/>
    <w:rsid w:val="00AD7509"/>
    <w:rsid w:val="00AD7564"/>
    <w:rsid w:val="00AD75E1"/>
    <w:rsid w:val="00AD76E9"/>
    <w:rsid w:val="00AD7804"/>
    <w:rsid w:val="00AD7834"/>
    <w:rsid w:val="00AD793E"/>
    <w:rsid w:val="00AD7AA2"/>
    <w:rsid w:val="00AD7C05"/>
    <w:rsid w:val="00AD7CEB"/>
    <w:rsid w:val="00AD7D7F"/>
    <w:rsid w:val="00AD7FF5"/>
    <w:rsid w:val="00AE005F"/>
    <w:rsid w:val="00AE02A4"/>
    <w:rsid w:val="00AE02BF"/>
    <w:rsid w:val="00AE03DF"/>
    <w:rsid w:val="00AE0468"/>
    <w:rsid w:val="00AE0577"/>
    <w:rsid w:val="00AE06D9"/>
    <w:rsid w:val="00AE078A"/>
    <w:rsid w:val="00AE08FE"/>
    <w:rsid w:val="00AE091C"/>
    <w:rsid w:val="00AE0A3A"/>
    <w:rsid w:val="00AE0B78"/>
    <w:rsid w:val="00AE0B87"/>
    <w:rsid w:val="00AE0BB6"/>
    <w:rsid w:val="00AE0BC2"/>
    <w:rsid w:val="00AE0EC4"/>
    <w:rsid w:val="00AE0EDA"/>
    <w:rsid w:val="00AE0F84"/>
    <w:rsid w:val="00AE1063"/>
    <w:rsid w:val="00AE1089"/>
    <w:rsid w:val="00AE11E2"/>
    <w:rsid w:val="00AE1228"/>
    <w:rsid w:val="00AE12CF"/>
    <w:rsid w:val="00AE133F"/>
    <w:rsid w:val="00AE143B"/>
    <w:rsid w:val="00AE144D"/>
    <w:rsid w:val="00AE151F"/>
    <w:rsid w:val="00AE15B0"/>
    <w:rsid w:val="00AE162D"/>
    <w:rsid w:val="00AE1C01"/>
    <w:rsid w:val="00AE1C97"/>
    <w:rsid w:val="00AE1E85"/>
    <w:rsid w:val="00AE2051"/>
    <w:rsid w:val="00AE2257"/>
    <w:rsid w:val="00AE24CE"/>
    <w:rsid w:val="00AE2539"/>
    <w:rsid w:val="00AE2733"/>
    <w:rsid w:val="00AE2834"/>
    <w:rsid w:val="00AE2959"/>
    <w:rsid w:val="00AE2AD0"/>
    <w:rsid w:val="00AE2B8B"/>
    <w:rsid w:val="00AE2CC3"/>
    <w:rsid w:val="00AE2DD2"/>
    <w:rsid w:val="00AE2E6D"/>
    <w:rsid w:val="00AE300C"/>
    <w:rsid w:val="00AE30C0"/>
    <w:rsid w:val="00AE3104"/>
    <w:rsid w:val="00AE3218"/>
    <w:rsid w:val="00AE3432"/>
    <w:rsid w:val="00AE3720"/>
    <w:rsid w:val="00AE39A5"/>
    <w:rsid w:val="00AE3A65"/>
    <w:rsid w:val="00AE3A75"/>
    <w:rsid w:val="00AE3B19"/>
    <w:rsid w:val="00AE3BA3"/>
    <w:rsid w:val="00AE3CC5"/>
    <w:rsid w:val="00AE3F91"/>
    <w:rsid w:val="00AE4091"/>
    <w:rsid w:val="00AE4384"/>
    <w:rsid w:val="00AE4385"/>
    <w:rsid w:val="00AE4428"/>
    <w:rsid w:val="00AE444E"/>
    <w:rsid w:val="00AE447F"/>
    <w:rsid w:val="00AE45DC"/>
    <w:rsid w:val="00AE47EA"/>
    <w:rsid w:val="00AE48D0"/>
    <w:rsid w:val="00AE4B96"/>
    <w:rsid w:val="00AE4C22"/>
    <w:rsid w:val="00AE4CDE"/>
    <w:rsid w:val="00AE4D22"/>
    <w:rsid w:val="00AE4E04"/>
    <w:rsid w:val="00AE4EAB"/>
    <w:rsid w:val="00AE4FF4"/>
    <w:rsid w:val="00AE5276"/>
    <w:rsid w:val="00AE534B"/>
    <w:rsid w:val="00AE5458"/>
    <w:rsid w:val="00AE5529"/>
    <w:rsid w:val="00AE556A"/>
    <w:rsid w:val="00AE57C0"/>
    <w:rsid w:val="00AE5A1A"/>
    <w:rsid w:val="00AE5C4E"/>
    <w:rsid w:val="00AE5E91"/>
    <w:rsid w:val="00AE60B4"/>
    <w:rsid w:val="00AE63CC"/>
    <w:rsid w:val="00AE64BE"/>
    <w:rsid w:val="00AE653A"/>
    <w:rsid w:val="00AE674D"/>
    <w:rsid w:val="00AE6769"/>
    <w:rsid w:val="00AE679E"/>
    <w:rsid w:val="00AE6A98"/>
    <w:rsid w:val="00AE6AFD"/>
    <w:rsid w:val="00AE6F8C"/>
    <w:rsid w:val="00AE72B7"/>
    <w:rsid w:val="00AE738F"/>
    <w:rsid w:val="00AE77C8"/>
    <w:rsid w:val="00AE7902"/>
    <w:rsid w:val="00AE79C5"/>
    <w:rsid w:val="00AE7D0E"/>
    <w:rsid w:val="00AE7DBC"/>
    <w:rsid w:val="00AE7E15"/>
    <w:rsid w:val="00AE7FF4"/>
    <w:rsid w:val="00AF0110"/>
    <w:rsid w:val="00AF01F6"/>
    <w:rsid w:val="00AF0511"/>
    <w:rsid w:val="00AF05BD"/>
    <w:rsid w:val="00AF0923"/>
    <w:rsid w:val="00AF0A1E"/>
    <w:rsid w:val="00AF0EA6"/>
    <w:rsid w:val="00AF0EBD"/>
    <w:rsid w:val="00AF107F"/>
    <w:rsid w:val="00AF118C"/>
    <w:rsid w:val="00AF119C"/>
    <w:rsid w:val="00AF11F4"/>
    <w:rsid w:val="00AF14D6"/>
    <w:rsid w:val="00AF1817"/>
    <w:rsid w:val="00AF20E5"/>
    <w:rsid w:val="00AF246F"/>
    <w:rsid w:val="00AF2481"/>
    <w:rsid w:val="00AF25BF"/>
    <w:rsid w:val="00AF2AF1"/>
    <w:rsid w:val="00AF3132"/>
    <w:rsid w:val="00AF342A"/>
    <w:rsid w:val="00AF3762"/>
    <w:rsid w:val="00AF3A7E"/>
    <w:rsid w:val="00AF3B42"/>
    <w:rsid w:val="00AF3D33"/>
    <w:rsid w:val="00AF3E5F"/>
    <w:rsid w:val="00AF3E9A"/>
    <w:rsid w:val="00AF3F2E"/>
    <w:rsid w:val="00AF3F4D"/>
    <w:rsid w:val="00AF3FF6"/>
    <w:rsid w:val="00AF4061"/>
    <w:rsid w:val="00AF40A0"/>
    <w:rsid w:val="00AF418B"/>
    <w:rsid w:val="00AF41C2"/>
    <w:rsid w:val="00AF43E8"/>
    <w:rsid w:val="00AF4532"/>
    <w:rsid w:val="00AF46AD"/>
    <w:rsid w:val="00AF4B2F"/>
    <w:rsid w:val="00AF4B81"/>
    <w:rsid w:val="00AF4CBB"/>
    <w:rsid w:val="00AF4D67"/>
    <w:rsid w:val="00AF5042"/>
    <w:rsid w:val="00AF5346"/>
    <w:rsid w:val="00AF5566"/>
    <w:rsid w:val="00AF589D"/>
    <w:rsid w:val="00AF5ABC"/>
    <w:rsid w:val="00AF5AFC"/>
    <w:rsid w:val="00AF5BAE"/>
    <w:rsid w:val="00AF5BBF"/>
    <w:rsid w:val="00AF5FDF"/>
    <w:rsid w:val="00AF635B"/>
    <w:rsid w:val="00AF63FA"/>
    <w:rsid w:val="00AF64AF"/>
    <w:rsid w:val="00AF682A"/>
    <w:rsid w:val="00AF687E"/>
    <w:rsid w:val="00AF69B5"/>
    <w:rsid w:val="00AF6A79"/>
    <w:rsid w:val="00AF6B14"/>
    <w:rsid w:val="00AF6C63"/>
    <w:rsid w:val="00AF6DA1"/>
    <w:rsid w:val="00AF6F6A"/>
    <w:rsid w:val="00AF6FF6"/>
    <w:rsid w:val="00AF7094"/>
    <w:rsid w:val="00AF713C"/>
    <w:rsid w:val="00AF717F"/>
    <w:rsid w:val="00AF71BC"/>
    <w:rsid w:val="00AF752F"/>
    <w:rsid w:val="00AF76AC"/>
    <w:rsid w:val="00AF77DA"/>
    <w:rsid w:val="00AF77F9"/>
    <w:rsid w:val="00AF7883"/>
    <w:rsid w:val="00AF7A1F"/>
    <w:rsid w:val="00AF7B84"/>
    <w:rsid w:val="00AF7DDC"/>
    <w:rsid w:val="00B00083"/>
    <w:rsid w:val="00B00298"/>
    <w:rsid w:val="00B00389"/>
    <w:rsid w:val="00B00493"/>
    <w:rsid w:val="00B005ED"/>
    <w:rsid w:val="00B006C9"/>
    <w:rsid w:val="00B006D6"/>
    <w:rsid w:val="00B00785"/>
    <w:rsid w:val="00B00881"/>
    <w:rsid w:val="00B00A86"/>
    <w:rsid w:val="00B00B41"/>
    <w:rsid w:val="00B00D79"/>
    <w:rsid w:val="00B00DDC"/>
    <w:rsid w:val="00B00EBB"/>
    <w:rsid w:val="00B00F56"/>
    <w:rsid w:val="00B011B9"/>
    <w:rsid w:val="00B01262"/>
    <w:rsid w:val="00B012AB"/>
    <w:rsid w:val="00B012CF"/>
    <w:rsid w:val="00B012D0"/>
    <w:rsid w:val="00B01391"/>
    <w:rsid w:val="00B015C1"/>
    <w:rsid w:val="00B0163A"/>
    <w:rsid w:val="00B01830"/>
    <w:rsid w:val="00B019CA"/>
    <w:rsid w:val="00B01CAB"/>
    <w:rsid w:val="00B01DE3"/>
    <w:rsid w:val="00B01E62"/>
    <w:rsid w:val="00B01FA6"/>
    <w:rsid w:val="00B02042"/>
    <w:rsid w:val="00B02127"/>
    <w:rsid w:val="00B023C2"/>
    <w:rsid w:val="00B02541"/>
    <w:rsid w:val="00B026B9"/>
    <w:rsid w:val="00B028F1"/>
    <w:rsid w:val="00B0297A"/>
    <w:rsid w:val="00B02B49"/>
    <w:rsid w:val="00B02C8D"/>
    <w:rsid w:val="00B02D09"/>
    <w:rsid w:val="00B02DC3"/>
    <w:rsid w:val="00B02F7A"/>
    <w:rsid w:val="00B03064"/>
    <w:rsid w:val="00B0312C"/>
    <w:rsid w:val="00B03504"/>
    <w:rsid w:val="00B035D7"/>
    <w:rsid w:val="00B036BA"/>
    <w:rsid w:val="00B038C3"/>
    <w:rsid w:val="00B0394D"/>
    <w:rsid w:val="00B03A21"/>
    <w:rsid w:val="00B03BE2"/>
    <w:rsid w:val="00B03C96"/>
    <w:rsid w:val="00B040BB"/>
    <w:rsid w:val="00B040F8"/>
    <w:rsid w:val="00B041C7"/>
    <w:rsid w:val="00B042D2"/>
    <w:rsid w:val="00B04533"/>
    <w:rsid w:val="00B04639"/>
    <w:rsid w:val="00B046C1"/>
    <w:rsid w:val="00B046FB"/>
    <w:rsid w:val="00B047A4"/>
    <w:rsid w:val="00B0485D"/>
    <w:rsid w:val="00B04C63"/>
    <w:rsid w:val="00B04CA0"/>
    <w:rsid w:val="00B04CEA"/>
    <w:rsid w:val="00B04D1E"/>
    <w:rsid w:val="00B04E4D"/>
    <w:rsid w:val="00B05070"/>
    <w:rsid w:val="00B05651"/>
    <w:rsid w:val="00B057BE"/>
    <w:rsid w:val="00B059C6"/>
    <w:rsid w:val="00B05AFE"/>
    <w:rsid w:val="00B05B5B"/>
    <w:rsid w:val="00B05B9C"/>
    <w:rsid w:val="00B05BCA"/>
    <w:rsid w:val="00B05C5F"/>
    <w:rsid w:val="00B05E57"/>
    <w:rsid w:val="00B06440"/>
    <w:rsid w:val="00B06636"/>
    <w:rsid w:val="00B066A2"/>
    <w:rsid w:val="00B066FD"/>
    <w:rsid w:val="00B06751"/>
    <w:rsid w:val="00B06861"/>
    <w:rsid w:val="00B06C30"/>
    <w:rsid w:val="00B06D77"/>
    <w:rsid w:val="00B06DB7"/>
    <w:rsid w:val="00B06F73"/>
    <w:rsid w:val="00B071A8"/>
    <w:rsid w:val="00B071BA"/>
    <w:rsid w:val="00B07356"/>
    <w:rsid w:val="00B07370"/>
    <w:rsid w:val="00B07542"/>
    <w:rsid w:val="00B0765F"/>
    <w:rsid w:val="00B0769F"/>
    <w:rsid w:val="00B07863"/>
    <w:rsid w:val="00B07889"/>
    <w:rsid w:val="00B0792B"/>
    <w:rsid w:val="00B07C6F"/>
    <w:rsid w:val="00B07D3C"/>
    <w:rsid w:val="00B07F94"/>
    <w:rsid w:val="00B07FAB"/>
    <w:rsid w:val="00B100F0"/>
    <w:rsid w:val="00B10185"/>
    <w:rsid w:val="00B1039B"/>
    <w:rsid w:val="00B1043E"/>
    <w:rsid w:val="00B10674"/>
    <w:rsid w:val="00B107A7"/>
    <w:rsid w:val="00B107DC"/>
    <w:rsid w:val="00B10831"/>
    <w:rsid w:val="00B10955"/>
    <w:rsid w:val="00B10C85"/>
    <w:rsid w:val="00B10DFA"/>
    <w:rsid w:val="00B10E43"/>
    <w:rsid w:val="00B10F8D"/>
    <w:rsid w:val="00B10FA2"/>
    <w:rsid w:val="00B1104A"/>
    <w:rsid w:val="00B11111"/>
    <w:rsid w:val="00B1120D"/>
    <w:rsid w:val="00B1123A"/>
    <w:rsid w:val="00B11285"/>
    <w:rsid w:val="00B119DB"/>
    <w:rsid w:val="00B11AE8"/>
    <w:rsid w:val="00B11B64"/>
    <w:rsid w:val="00B11F98"/>
    <w:rsid w:val="00B12023"/>
    <w:rsid w:val="00B12105"/>
    <w:rsid w:val="00B12167"/>
    <w:rsid w:val="00B1256D"/>
    <w:rsid w:val="00B12575"/>
    <w:rsid w:val="00B1284B"/>
    <w:rsid w:val="00B12A04"/>
    <w:rsid w:val="00B12A82"/>
    <w:rsid w:val="00B12B3A"/>
    <w:rsid w:val="00B12CFE"/>
    <w:rsid w:val="00B130A4"/>
    <w:rsid w:val="00B13354"/>
    <w:rsid w:val="00B135B6"/>
    <w:rsid w:val="00B13997"/>
    <w:rsid w:val="00B13AC9"/>
    <w:rsid w:val="00B13C9C"/>
    <w:rsid w:val="00B13DD2"/>
    <w:rsid w:val="00B13E42"/>
    <w:rsid w:val="00B13E79"/>
    <w:rsid w:val="00B13F76"/>
    <w:rsid w:val="00B14248"/>
    <w:rsid w:val="00B142E1"/>
    <w:rsid w:val="00B14405"/>
    <w:rsid w:val="00B1445E"/>
    <w:rsid w:val="00B1479B"/>
    <w:rsid w:val="00B1490F"/>
    <w:rsid w:val="00B14CC7"/>
    <w:rsid w:val="00B14D38"/>
    <w:rsid w:val="00B14D3A"/>
    <w:rsid w:val="00B14D6D"/>
    <w:rsid w:val="00B15029"/>
    <w:rsid w:val="00B150BA"/>
    <w:rsid w:val="00B15384"/>
    <w:rsid w:val="00B155AF"/>
    <w:rsid w:val="00B157F4"/>
    <w:rsid w:val="00B157F7"/>
    <w:rsid w:val="00B15854"/>
    <w:rsid w:val="00B158A9"/>
    <w:rsid w:val="00B158F6"/>
    <w:rsid w:val="00B15AFF"/>
    <w:rsid w:val="00B15B00"/>
    <w:rsid w:val="00B15BB7"/>
    <w:rsid w:val="00B15ECD"/>
    <w:rsid w:val="00B160AB"/>
    <w:rsid w:val="00B168AB"/>
    <w:rsid w:val="00B16C9F"/>
    <w:rsid w:val="00B16EBC"/>
    <w:rsid w:val="00B172AE"/>
    <w:rsid w:val="00B175CD"/>
    <w:rsid w:val="00B178CD"/>
    <w:rsid w:val="00B178F8"/>
    <w:rsid w:val="00B17A3E"/>
    <w:rsid w:val="00B17C01"/>
    <w:rsid w:val="00B17C48"/>
    <w:rsid w:val="00B17CDD"/>
    <w:rsid w:val="00B17CE8"/>
    <w:rsid w:val="00B17D6D"/>
    <w:rsid w:val="00B17DA9"/>
    <w:rsid w:val="00B1B9B6"/>
    <w:rsid w:val="00B200C9"/>
    <w:rsid w:val="00B20207"/>
    <w:rsid w:val="00B2024C"/>
    <w:rsid w:val="00B2025A"/>
    <w:rsid w:val="00B20341"/>
    <w:rsid w:val="00B203AC"/>
    <w:rsid w:val="00B203DD"/>
    <w:rsid w:val="00B204CB"/>
    <w:rsid w:val="00B20668"/>
    <w:rsid w:val="00B206DE"/>
    <w:rsid w:val="00B20749"/>
    <w:rsid w:val="00B207A0"/>
    <w:rsid w:val="00B207DA"/>
    <w:rsid w:val="00B20E72"/>
    <w:rsid w:val="00B20F8D"/>
    <w:rsid w:val="00B20FB2"/>
    <w:rsid w:val="00B21283"/>
    <w:rsid w:val="00B2138C"/>
    <w:rsid w:val="00B213F0"/>
    <w:rsid w:val="00B217EC"/>
    <w:rsid w:val="00B21A02"/>
    <w:rsid w:val="00B21A46"/>
    <w:rsid w:val="00B21B13"/>
    <w:rsid w:val="00B21B7D"/>
    <w:rsid w:val="00B21D58"/>
    <w:rsid w:val="00B21D9B"/>
    <w:rsid w:val="00B21E76"/>
    <w:rsid w:val="00B21F18"/>
    <w:rsid w:val="00B21F82"/>
    <w:rsid w:val="00B22147"/>
    <w:rsid w:val="00B2218A"/>
    <w:rsid w:val="00B221B6"/>
    <w:rsid w:val="00B22333"/>
    <w:rsid w:val="00B22488"/>
    <w:rsid w:val="00B224BD"/>
    <w:rsid w:val="00B224F2"/>
    <w:rsid w:val="00B22531"/>
    <w:rsid w:val="00B2263F"/>
    <w:rsid w:val="00B22C65"/>
    <w:rsid w:val="00B22CA5"/>
    <w:rsid w:val="00B22D22"/>
    <w:rsid w:val="00B22E1A"/>
    <w:rsid w:val="00B230A9"/>
    <w:rsid w:val="00B230F2"/>
    <w:rsid w:val="00B23235"/>
    <w:rsid w:val="00B23263"/>
    <w:rsid w:val="00B235BC"/>
    <w:rsid w:val="00B235DA"/>
    <w:rsid w:val="00B23787"/>
    <w:rsid w:val="00B237ED"/>
    <w:rsid w:val="00B238CE"/>
    <w:rsid w:val="00B23914"/>
    <w:rsid w:val="00B23A66"/>
    <w:rsid w:val="00B23A74"/>
    <w:rsid w:val="00B23AA5"/>
    <w:rsid w:val="00B23F5D"/>
    <w:rsid w:val="00B23F6E"/>
    <w:rsid w:val="00B23FF3"/>
    <w:rsid w:val="00B24093"/>
    <w:rsid w:val="00B241D8"/>
    <w:rsid w:val="00B24224"/>
    <w:rsid w:val="00B2462D"/>
    <w:rsid w:val="00B24788"/>
    <w:rsid w:val="00B248E5"/>
    <w:rsid w:val="00B24B1F"/>
    <w:rsid w:val="00B24B64"/>
    <w:rsid w:val="00B24D00"/>
    <w:rsid w:val="00B24DD9"/>
    <w:rsid w:val="00B253A8"/>
    <w:rsid w:val="00B25474"/>
    <w:rsid w:val="00B254E3"/>
    <w:rsid w:val="00B255FA"/>
    <w:rsid w:val="00B25676"/>
    <w:rsid w:val="00B2569C"/>
    <w:rsid w:val="00B257B8"/>
    <w:rsid w:val="00B259DF"/>
    <w:rsid w:val="00B25A37"/>
    <w:rsid w:val="00B25E0B"/>
    <w:rsid w:val="00B25E70"/>
    <w:rsid w:val="00B25F64"/>
    <w:rsid w:val="00B25FFA"/>
    <w:rsid w:val="00B260DA"/>
    <w:rsid w:val="00B26156"/>
    <w:rsid w:val="00B263D4"/>
    <w:rsid w:val="00B264A6"/>
    <w:rsid w:val="00B264C5"/>
    <w:rsid w:val="00B26529"/>
    <w:rsid w:val="00B2660F"/>
    <w:rsid w:val="00B2669A"/>
    <w:rsid w:val="00B268EC"/>
    <w:rsid w:val="00B26C4D"/>
    <w:rsid w:val="00B26D16"/>
    <w:rsid w:val="00B26D7F"/>
    <w:rsid w:val="00B26DC0"/>
    <w:rsid w:val="00B26E21"/>
    <w:rsid w:val="00B26F68"/>
    <w:rsid w:val="00B2712C"/>
    <w:rsid w:val="00B271EE"/>
    <w:rsid w:val="00B272C6"/>
    <w:rsid w:val="00B273D1"/>
    <w:rsid w:val="00B2742B"/>
    <w:rsid w:val="00B2751A"/>
    <w:rsid w:val="00B27607"/>
    <w:rsid w:val="00B27774"/>
    <w:rsid w:val="00B2783E"/>
    <w:rsid w:val="00B27856"/>
    <w:rsid w:val="00B27918"/>
    <w:rsid w:val="00B2795C"/>
    <w:rsid w:val="00B27B30"/>
    <w:rsid w:val="00B27E24"/>
    <w:rsid w:val="00B30096"/>
    <w:rsid w:val="00B302CE"/>
    <w:rsid w:val="00B303A5"/>
    <w:rsid w:val="00B3048B"/>
    <w:rsid w:val="00B30642"/>
    <w:rsid w:val="00B306A0"/>
    <w:rsid w:val="00B307A7"/>
    <w:rsid w:val="00B30BED"/>
    <w:rsid w:val="00B30F3C"/>
    <w:rsid w:val="00B311A5"/>
    <w:rsid w:val="00B311BA"/>
    <w:rsid w:val="00B311D4"/>
    <w:rsid w:val="00B3127F"/>
    <w:rsid w:val="00B315BC"/>
    <w:rsid w:val="00B31844"/>
    <w:rsid w:val="00B31B4A"/>
    <w:rsid w:val="00B31BB0"/>
    <w:rsid w:val="00B31C1C"/>
    <w:rsid w:val="00B31CD5"/>
    <w:rsid w:val="00B31FD3"/>
    <w:rsid w:val="00B32019"/>
    <w:rsid w:val="00B3203E"/>
    <w:rsid w:val="00B320A3"/>
    <w:rsid w:val="00B323A0"/>
    <w:rsid w:val="00B3243A"/>
    <w:rsid w:val="00B324A3"/>
    <w:rsid w:val="00B32796"/>
    <w:rsid w:val="00B32B35"/>
    <w:rsid w:val="00B32B51"/>
    <w:rsid w:val="00B32B8F"/>
    <w:rsid w:val="00B32CA7"/>
    <w:rsid w:val="00B32D45"/>
    <w:rsid w:val="00B32EFE"/>
    <w:rsid w:val="00B32FEB"/>
    <w:rsid w:val="00B331A5"/>
    <w:rsid w:val="00B332EA"/>
    <w:rsid w:val="00B3339B"/>
    <w:rsid w:val="00B335B8"/>
    <w:rsid w:val="00B336EA"/>
    <w:rsid w:val="00B338F8"/>
    <w:rsid w:val="00B33D70"/>
    <w:rsid w:val="00B33E1C"/>
    <w:rsid w:val="00B33F8B"/>
    <w:rsid w:val="00B3407C"/>
    <w:rsid w:val="00B3426D"/>
    <w:rsid w:val="00B342C7"/>
    <w:rsid w:val="00B3466F"/>
    <w:rsid w:val="00B3470D"/>
    <w:rsid w:val="00B348AD"/>
    <w:rsid w:val="00B34900"/>
    <w:rsid w:val="00B34A3E"/>
    <w:rsid w:val="00B34B81"/>
    <w:rsid w:val="00B34B8F"/>
    <w:rsid w:val="00B34D9F"/>
    <w:rsid w:val="00B34F81"/>
    <w:rsid w:val="00B351A2"/>
    <w:rsid w:val="00B3528D"/>
    <w:rsid w:val="00B352E9"/>
    <w:rsid w:val="00B35394"/>
    <w:rsid w:val="00B355E6"/>
    <w:rsid w:val="00B35A21"/>
    <w:rsid w:val="00B35EF5"/>
    <w:rsid w:val="00B36123"/>
    <w:rsid w:val="00B36225"/>
    <w:rsid w:val="00B3631E"/>
    <w:rsid w:val="00B36508"/>
    <w:rsid w:val="00B367E2"/>
    <w:rsid w:val="00B368F8"/>
    <w:rsid w:val="00B36B7A"/>
    <w:rsid w:val="00B36D3B"/>
    <w:rsid w:val="00B36D82"/>
    <w:rsid w:val="00B36DFE"/>
    <w:rsid w:val="00B3740F"/>
    <w:rsid w:val="00B37484"/>
    <w:rsid w:val="00B3767C"/>
    <w:rsid w:val="00B377BA"/>
    <w:rsid w:val="00B3791A"/>
    <w:rsid w:val="00B37922"/>
    <w:rsid w:val="00B37B0B"/>
    <w:rsid w:val="00B37B56"/>
    <w:rsid w:val="00B37B96"/>
    <w:rsid w:val="00B37C4E"/>
    <w:rsid w:val="00B37E9A"/>
    <w:rsid w:val="00B40057"/>
    <w:rsid w:val="00B40199"/>
    <w:rsid w:val="00B40233"/>
    <w:rsid w:val="00B405FE"/>
    <w:rsid w:val="00B407EE"/>
    <w:rsid w:val="00B40DE6"/>
    <w:rsid w:val="00B40EB2"/>
    <w:rsid w:val="00B40EBB"/>
    <w:rsid w:val="00B41188"/>
    <w:rsid w:val="00B412A0"/>
    <w:rsid w:val="00B41321"/>
    <w:rsid w:val="00B4159F"/>
    <w:rsid w:val="00B416F6"/>
    <w:rsid w:val="00B41845"/>
    <w:rsid w:val="00B41978"/>
    <w:rsid w:val="00B4198F"/>
    <w:rsid w:val="00B41A80"/>
    <w:rsid w:val="00B41AFD"/>
    <w:rsid w:val="00B41CEF"/>
    <w:rsid w:val="00B41D76"/>
    <w:rsid w:val="00B41FA1"/>
    <w:rsid w:val="00B41FAF"/>
    <w:rsid w:val="00B428BD"/>
    <w:rsid w:val="00B42949"/>
    <w:rsid w:val="00B429AD"/>
    <w:rsid w:val="00B42A70"/>
    <w:rsid w:val="00B42B38"/>
    <w:rsid w:val="00B42B79"/>
    <w:rsid w:val="00B42E85"/>
    <w:rsid w:val="00B42EB6"/>
    <w:rsid w:val="00B42EC9"/>
    <w:rsid w:val="00B42F4C"/>
    <w:rsid w:val="00B4324D"/>
    <w:rsid w:val="00B433CA"/>
    <w:rsid w:val="00B435CD"/>
    <w:rsid w:val="00B438D9"/>
    <w:rsid w:val="00B43D52"/>
    <w:rsid w:val="00B43E3C"/>
    <w:rsid w:val="00B44315"/>
    <w:rsid w:val="00B4432C"/>
    <w:rsid w:val="00B44363"/>
    <w:rsid w:val="00B44668"/>
    <w:rsid w:val="00B447D0"/>
    <w:rsid w:val="00B4493B"/>
    <w:rsid w:val="00B44C25"/>
    <w:rsid w:val="00B44E88"/>
    <w:rsid w:val="00B44EDA"/>
    <w:rsid w:val="00B44FAD"/>
    <w:rsid w:val="00B45132"/>
    <w:rsid w:val="00B451B1"/>
    <w:rsid w:val="00B451BD"/>
    <w:rsid w:val="00B45264"/>
    <w:rsid w:val="00B45735"/>
    <w:rsid w:val="00B4583E"/>
    <w:rsid w:val="00B45A10"/>
    <w:rsid w:val="00B45F07"/>
    <w:rsid w:val="00B45F72"/>
    <w:rsid w:val="00B460F0"/>
    <w:rsid w:val="00B461B8"/>
    <w:rsid w:val="00B46251"/>
    <w:rsid w:val="00B462E5"/>
    <w:rsid w:val="00B463FA"/>
    <w:rsid w:val="00B46580"/>
    <w:rsid w:val="00B4658A"/>
    <w:rsid w:val="00B465BB"/>
    <w:rsid w:val="00B468B8"/>
    <w:rsid w:val="00B46975"/>
    <w:rsid w:val="00B46D2B"/>
    <w:rsid w:val="00B471AF"/>
    <w:rsid w:val="00B472D4"/>
    <w:rsid w:val="00B473D7"/>
    <w:rsid w:val="00B47446"/>
    <w:rsid w:val="00B474E6"/>
    <w:rsid w:val="00B4773B"/>
    <w:rsid w:val="00B477EF"/>
    <w:rsid w:val="00B478EB"/>
    <w:rsid w:val="00B47915"/>
    <w:rsid w:val="00B479F8"/>
    <w:rsid w:val="00B47CE5"/>
    <w:rsid w:val="00B5035B"/>
    <w:rsid w:val="00B50430"/>
    <w:rsid w:val="00B508F6"/>
    <w:rsid w:val="00B50C41"/>
    <w:rsid w:val="00B50C83"/>
    <w:rsid w:val="00B50CCA"/>
    <w:rsid w:val="00B51158"/>
    <w:rsid w:val="00B51188"/>
    <w:rsid w:val="00B51282"/>
    <w:rsid w:val="00B51540"/>
    <w:rsid w:val="00B51882"/>
    <w:rsid w:val="00B51B64"/>
    <w:rsid w:val="00B51B76"/>
    <w:rsid w:val="00B51BC4"/>
    <w:rsid w:val="00B51D60"/>
    <w:rsid w:val="00B51EC3"/>
    <w:rsid w:val="00B51EE2"/>
    <w:rsid w:val="00B51F6D"/>
    <w:rsid w:val="00B51FCA"/>
    <w:rsid w:val="00B52045"/>
    <w:rsid w:val="00B520C6"/>
    <w:rsid w:val="00B521AD"/>
    <w:rsid w:val="00B521D5"/>
    <w:rsid w:val="00B52207"/>
    <w:rsid w:val="00B52313"/>
    <w:rsid w:val="00B5234D"/>
    <w:rsid w:val="00B525F2"/>
    <w:rsid w:val="00B52650"/>
    <w:rsid w:val="00B52748"/>
    <w:rsid w:val="00B52765"/>
    <w:rsid w:val="00B52831"/>
    <w:rsid w:val="00B528FA"/>
    <w:rsid w:val="00B52A50"/>
    <w:rsid w:val="00B52A71"/>
    <w:rsid w:val="00B53226"/>
    <w:rsid w:val="00B5356B"/>
    <w:rsid w:val="00B5357F"/>
    <w:rsid w:val="00B537AE"/>
    <w:rsid w:val="00B537FA"/>
    <w:rsid w:val="00B539FE"/>
    <w:rsid w:val="00B53A1B"/>
    <w:rsid w:val="00B53B3A"/>
    <w:rsid w:val="00B543CE"/>
    <w:rsid w:val="00B54480"/>
    <w:rsid w:val="00B5462A"/>
    <w:rsid w:val="00B546E5"/>
    <w:rsid w:val="00B54797"/>
    <w:rsid w:val="00B547E5"/>
    <w:rsid w:val="00B548BE"/>
    <w:rsid w:val="00B54A80"/>
    <w:rsid w:val="00B54B2E"/>
    <w:rsid w:val="00B54DE4"/>
    <w:rsid w:val="00B54DED"/>
    <w:rsid w:val="00B54E01"/>
    <w:rsid w:val="00B55364"/>
    <w:rsid w:val="00B55462"/>
    <w:rsid w:val="00B55541"/>
    <w:rsid w:val="00B55939"/>
    <w:rsid w:val="00B55961"/>
    <w:rsid w:val="00B55C97"/>
    <w:rsid w:val="00B55CC0"/>
    <w:rsid w:val="00B55DF8"/>
    <w:rsid w:val="00B55E06"/>
    <w:rsid w:val="00B55F6D"/>
    <w:rsid w:val="00B5607B"/>
    <w:rsid w:val="00B564BE"/>
    <w:rsid w:val="00B568C3"/>
    <w:rsid w:val="00B56B18"/>
    <w:rsid w:val="00B56D7F"/>
    <w:rsid w:val="00B56D86"/>
    <w:rsid w:val="00B570D0"/>
    <w:rsid w:val="00B571D9"/>
    <w:rsid w:val="00B5722B"/>
    <w:rsid w:val="00B57391"/>
    <w:rsid w:val="00B574D8"/>
    <w:rsid w:val="00B57593"/>
    <w:rsid w:val="00B578CD"/>
    <w:rsid w:val="00B57914"/>
    <w:rsid w:val="00B57C3A"/>
    <w:rsid w:val="00B57D00"/>
    <w:rsid w:val="00B57D8B"/>
    <w:rsid w:val="00B60092"/>
    <w:rsid w:val="00B601A2"/>
    <w:rsid w:val="00B601C2"/>
    <w:rsid w:val="00B602FC"/>
    <w:rsid w:val="00B6070B"/>
    <w:rsid w:val="00B6071B"/>
    <w:rsid w:val="00B6088B"/>
    <w:rsid w:val="00B60BF6"/>
    <w:rsid w:val="00B60C04"/>
    <w:rsid w:val="00B60C51"/>
    <w:rsid w:val="00B60D0E"/>
    <w:rsid w:val="00B60D9E"/>
    <w:rsid w:val="00B6123C"/>
    <w:rsid w:val="00B6134B"/>
    <w:rsid w:val="00B6159A"/>
    <w:rsid w:val="00B616B3"/>
    <w:rsid w:val="00B61706"/>
    <w:rsid w:val="00B6202F"/>
    <w:rsid w:val="00B62081"/>
    <w:rsid w:val="00B62194"/>
    <w:rsid w:val="00B62381"/>
    <w:rsid w:val="00B624D0"/>
    <w:rsid w:val="00B62521"/>
    <w:rsid w:val="00B6274F"/>
    <w:rsid w:val="00B62768"/>
    <w:rsid w:val="00B6285A"/>
    <w:rsid w:val="00B6295F"/>
    <w:rsid w:val="00B62A92"/>
    <w:rsid w:val="00B62C21"/>
    <w:rsid w:val="00B62C82"/>
    <w:rsid w:val="00B62D08"/>
    <w:rsid w:val="00B62E05"/>
    <w:rsid w:val="00B62EBB"/>
    <w:rsid w:val="00B63036"/>
    <w:rsid w:val="00B6305C"/>
    <w:rsid w:val="00B63126"/>
    <w:rsid w:val="00B63171"/>
    <w:rsid w:val="00B63AA1"/>
    <w:rsid w:val="00B63AFD"/>
    <w:rsid w:val="00B63EBA"/>
    <w:rsid w:val="00B640BD"/>
    <w:rsid w:val="00B640DA"/>
    <w:rsid w:val="00B64193"/>
    <w:rsid w:val="00B642E6"/>
    <w:rsid w:val="00B6453E"/>
    <w:rsid w:val="00B64627"/>
    <w:rsid w:val="00B646C2"/>
    <w:rsid w:val="00B647B6"/>
    <w:rsid w:val="00B647CE"/>
    <w:rsid w:val="00B6482E"/>
    <w:rsid w:val="00B64A8D"/>
    <w:rsid w:val="00B64AAB"/>
    <w:rsid w:val="00B64B59"/>
    <w:rsid w:val="00B64D0B"/>
    <w:rsid w:val="00B64D58"/>
    <w:rsid w:val="00B64DA6"/>
    <w:rsid w:val="00B64DCD"/>
    <w:rsid w:val="00B64E27"/>
    <w:rsid w:val="00B64E75"/>
    <w:rsid w:val="00B64E96"/>
    <w:rsid w:val="00B64F3C"/>
    <w:rsid w:val="00B64F87"/>
    <w:rsid w:val="00B65027"/>
    <w:rsid w:val="00B65149"/>
    <w:rsid w:val="00B655B7"/>
    <w:rsid w:val="00B65650"/>
    <w:rsid w:val="00B6569F"/>
    <w:rsid w:val="00B65714"/>
    <w:rsid w:val="00B658AA"/>
    <w:rsid w:val="00B658E7"/>
    <w:rsid w:val="00B65BD6"/>
    <w:rsid w:val="00B65C83"/>
    <w:rsid w:val="00B65D8B"/>
    <w:rsid w:val="00B65E4F"/>
    <w:rsid w:val="00B65E86"/>
    <w:rsid w:val="00B65EEB"/>
    <w:rsid w:val="00B66121"/>
    <w:rsid w:val="00B661FC"/>
    <w:rsid w:val="00B6640A"/>
    <w:rsid w:val="00B664F1"/>
    <w:rsid w:val="00B665DE"/>
    <w:rsid w:val="00B669ED"/>
    <w:rsid w:val="00B66CA0"/>
    <w:rsid w:val="00B66E56"/>
    <w:rsid w:val="00B6712E"/>
    <w:rsid w:val="00B672DE"/>
    <w:rsid w:val="00B674D6"/>
    <w:rsid w:val="00B6772F"/>
    <w:rsid w:val="00B679AA"/>
    <w:rsid w:val="00B67ACC"/>
    <w:rsid w:val="00B67ACE"/>
    <w:rsid w:val="00B67BE1"/>
    <w:rsid w:val="00B67BE9"/>
    <w:rsid w:val="00B67CA1"/>
    <w:rsid w:val="00B67DFC"/>
    <w:rsid w:val="00B70004"/>
    <w:rsid w:val="00B70202"/>
    <w:rsid w:val="00B70203"/>
    <w:rsid w:val="00B7020A"/>
    <w:rsid w:val="00B702AB"/>
    <w:rsid w:val="00B702C5"/>
    <w:rsid w:val="00B702E7"/>
    <w:rsid w:val="00B70363"/>
    <w:rsid w:val="00B705D0"/>
    <w:rsid w:val="00B707A2"/>
    <w:rsid w:val="00B70A62"/>
    <w:rsid w:val="00B70CA9"/>
    <w:rsid w:val="00B70D71"/>
    <w:rsid w:val="00B70F57"/>
    <w:rsid w:val="00B70F9B"/>
    <w:rsid w:val="00B711F0"/>
    <w:rsid w:val="00B7127C"/>
    <w:rsid w:val="00B714FA"/>
    <w:rsid w:val="00B717C1"/>
    <w:rsid w:val="00B71A0A"/>
    <w:rsid w:val="00B71B0B"/>
    <w:rsid w:val="00B71BC7"/>
    <w:rsid w:val="00B71D6B"/>
    <w:rsid w:val="00B720AC"/>
    <w:rsid w:val="00B720FA"/>
    <w:rsid w:val="00B72156"/>
    <w:rsid w:val="00B7227B"/>
    <w:rsid w:val="00B724D1"/>
    <w:rsid w:val="00B7260F"/>
    <w:rsid w:val="00B7266C"/>
    <w:rsid w:val="00B72686"/>
    <w:rsid w:val="00B7274C"/>
    <w:rsid w:val="00B729D7"/>
    <w:rsid w:val="00B72D0B"/>
    <w:rsid w:val="00B72F99"/>
    <w:rsid w:val="00B73226"/>
    <w:rsid w:val="00B739D4"/>
    <w:rsid w:val="00B73A2B"/>
    <w:rsid w:val="00B73A35"/>
    <w:rsid w:val="00B73AF1"/>
    <w:rsid w:val="00B73BD3"/>
    <w:rsid w:val="00B73CB1"/>
    <w:rsid w:val="00B74077"/>
    <w:rsid w:val="00B74738"/>
    <w:rsid w:val="00B74805"/>
    <w:rsid w:val="00B7499A"/>
    <w:rsid w:val="00B74AF8"/>
    <w:rsid w:val="00B74C47"/>
    <w:rsid w:val="00B74E30"/>
    <w:rsid w:val="00B75081"/>
    <w:rsid w:val="00B750A5"/>
    <w:rsid w:val="00B75546"/>
    <w:rsid w:val="00B75781"/>
    <w:rsid w:val="00B7585A"/>
    <w:rsid w:val="00B75887"/>
    <w:rsid w:val="00B75A0C"/>
    <w:rsid w:val="00B75A44"/>
    <w:rsid w:val="00B75A45"/>
    <w:rsid w:val="00B75A6F"/>
    <w:rsid w:val="00B75B3A"/>
    <w:rsid w:val="00B75B69"/>
    <w:rsid w:val="00B75BB6"/>
    <w:rsid w:val="00B75C4E"/>
    <w:rsid w:val="00B75CAE"/>
    <w:rsid w:val="00B75F14"/>
    <w:rsid w:val="00B7625E"/>
    <w:rsid w:val="00B7635E"/>
    <w:rsid w:val="00B7667B"/>
    <w:rsid w:val="00B76720"/>
    <w:rsid w:val="00B76770"/>
    <w:rsid w:val="00B7682D"/>
    <w:rsid w:val="00B76B4F"/>
    <w:rsid w:val="00B76BB0"/>
    <w:rsid w:val="00B76BEC"/>
    <w:rsid w:val="00B76D25"/>
    <w:rsid w:val="00B76EAC"/>
    <w:rsid w:val="00B76ECD"/>
    <w:rsid w:val="00B76FD5"/>
    <w:rsid w:val="00B77144"/>
    <w:rsid w:val="00B771B6"/>
    <w:rsid w:val="00B7734E"/>
    <w:rsid w:val="00B77382"/>
    <w:rsid w:val="00B773F9"/>
    <w:rsid w:val="00B774BE"/>
    <w:rsid w:val="00B776E6"/>
    <w:rsid w:val="00B77738"/>
    <w:rsid w:val="00B7774C"/>
    <w:rsid w:val="00B7779A"/>
    <w:rsid w:val="00B77A7A"/>
    <w:rsid w:val="00B77AA0"/>
    <w:rsid w:val="00B77AF7"/>
    <w:rsid w:val="00B77E36"/>
    <w:rsid w:val="00B77FAD"/>
    <w:rsid w:val="00B77FEB"/>
    <w:rsid w:val="00B800F7"/>
    <w:rsid w:val="00B8023D"/>
    <w:rsid w:val="00B8031A"/>
    <w:rsid w:val="00B8050B"/>
    <w:rsid w:val="00B80525"/>
    <w:rsid w:val="00B80C19"/>
    <w:rsid w:val="00B80C2C"/>
    <w:rsid w:val="00B80C57"/>
    <w:rsid w:val="00B80D12"/>
    <w:rsid w:val="00B80D3C"/>
    <w:rsid w:val="00B80E3B"/>
    <w:rsid w:val="00B80E6E"/>
    <w:rsid w:val="00B810CA"/>
    <w:rsid w:val="00B81174"/>
    <w:rsid w:val="00B8122D"/>
    <w:rsid w:val="00B81249"/>
    <w:rsid w:val="00B81500"/>
    <w:rsid w:val="00B81566"/>
    <w:rsid w:val="00B816B5"/>
    <w:rsid w:val="00B8189E"/>
    <w:rsid w:val="00B818A0"/>
    <w:rsid w:val="00B81A7B"/>
    <w:rsid w:val="00B81C06"/>
    <w:rsid w:val="00B821E4"/>
    <w:rsid w:val="00B8225F"/>
    <w:rsid w:val="00B8261B"/>
    <w:rsid w:val="00B82779"/>
    <w:rsid w:val="00B827BC"/>
    <w:rsid w:val="00B82A70"/>
    <w:rsid w:val="00B82ACD"/>
    <w:rsid w:val="00B82B50"/>
    <w:rsid w:val="00B82BAA"/>
    <w:rsid w:val="00B82DBC"/>
    <w:rsid w:val="00B82F22"/>
    <w:rsid w:val="00B82F6B"/>
    <w:rsid w:val="00B8309B"/>
    <w:rsid w:val="00B8325C"/>
    <w:rsid w:val="00B832A9"/>
    <w:rsid w:val="00B83376"/>
    <w:rsid w:val="00B83380"/>
    <w:rsid w:val="00B83393"/>
    <w:rsid w:val="00B83452"/>
    <w:rsid w:val="00B835B1"/>
    <w:rsid w:val="00B8363F"/>
    <w:rsid w:val="00B83684"/>
    <w:rsid w:val="00B837C8"/>
    <w:rsid w:val="00B838B6"/>
    <w:rsid w:val="00B83904"/>
    <w:rsid w:val="00B83984"/>
    <w:rsid w:val="00B83B34"/>
    <w:rsid w:val="00B83C3A"/>
    <w:rsid w:val="00B83CD8"/>
    <w:rsid w:val="00B83D85"/>
    <w:rsid w:val="00B83E07"/>
    <w:rsid w:val="00B83FA3"/>
    <w:rsid w:val="00B84022"/>
    <w:rsid w:val="00B8417A"/>
    <w:rsid w:val="00B84445"/>
    <w:rsid w:val="00B84783"/>
    <w:rsid w:val="00B84805"/>
    <w:rsid w:val="00B84936"/>
    <w:rsid w:val="00B84AEE"/>
    <w:rsid w:val="00B84B02"/>
    <w:rsid w:val="00B84C6D"/>
    <w:rsid w:val="00B84CC9"/>
    <w:rsid w:val="00B84E27"/>
    <w:rsid w:val="00B84F35"/>
    <w:rsid w:val="00B84F95"/>
    <w:rsid w:val="00B853BC"/>
    <w:rsid w:val="00B8545E"/>
    <w:rsid w:val="00B85635"/>
    <w:rsid w:val="00B8566B"/>
    <w:rsid w:val="00B85831"/>
    <w:rsid w:val="00B8585A"/>
    <w:rsid w:val="00B85E06"/>
    <w:rsid w:val="00B85E45"/>
    <w:rsid w:val="00B85F89"/>
    <w:rsid w:val="00B860FC"/>
    <w:rsid w:val="00B8632A"/>
    <w:rsid w:val="00B865C4"/>
    <w:rsid w:val="00B86752"/>
    <w:rsid w:val="00B8679C"/>
    <w:rsid w:val="00B8696F"/>
    <w:rsid w:val="00B869E6"/>
    <w:rsid w:val="00B86ABB"/>
    <w:rsid w:val="00B86AE6"/>
    <w:rsid w:val="00B86BDB"/>
    <w:rsid w:val="00B86C67"/>
    <w:rsid w:val="00B86FBA"/>
    <w:rsid w:val="00B87056"/>
    <w:rsid w:val="00B8755D"/>
    <w:rsid w:val="00B8777A"/>
    <w:rsid w:val="00B877BC"/>
    <w:rsid w:val="00B877C5"/>
    <w:rsid w:val="00B878E7"/>
    <w:rsid w:val="00B87929"/>
    <w:rsid w:val="00B879AA"/>
    <w:rsid w:val="00B87A09"/>
    <w:rsid w:val="00B87BEE"/>
    <w:rsid w:val="00B87BF7"/>
    <w:rsid w:val="00B87E44"/>
    <w:rsid w:val="00B87E61"/>
    <w:rsid w:val="00B87EE6"/>
    <w:rsid w:val="00B87EF9"/>
    <w:rsid w:val="00B87F57"/>
    <w:rsid w:val="00B90099"/>
    <w:rsid w:val="00B901E9"/>
    <w:rsid w:val="00B90292"/>
    <w:rsid w:val="00B902D9"/>
    <w:rsid w:val="00B9041A"/>
    <w:rsid w:val="00B90446"/>
    <w:rsid w:val="00B90634"/>
    <w:rsid w:val="00B906F6"/>
    <w:rsid w:val="00B90830"/>
    <w:rsid w:val="00B9084B"/>
    <w:rsid w:val="00B908B4"/>
    <w:rsid w:val="00B90913"/>
    <w:rsid w:val="00B909FA"/>
    <w:rsid w:val="00B90B22"/>
    <w:rsid w:val="00B90DB4"/>
    <w:rsid w:val="00B90E07"/>
    <w:rsid w:val="00B91069"/>
    <w:rsid w:val="00B9130F"/>
    <w:rsid w:val="00B9131C"/>
    <w:rsid w:val="00B9135B"/>
    <w:rsid w:val="00B913C8"/>
    <w:rsid w:val="00B915D5"/>
    <w:rsid w:val="00B9175A"/>
    <w:rsid w:val="00B91795"/>
    <w:rsid w:val="00B91833"/>
    <w:rsid w:val="00B91BA1"/>
    <w:rsid w:val="00B91BD8"/>
    <w:rsid w:val="00B91D3D"/>
    <w:rsid w:val="00B91DDE"/>
    <w:rsid w:val="00B92350"/>
    <w:rsid w:val="00B92364"/>
    <w:rsid w:val="00B92398"/>
    <w:rsid w:val="00B92885"/>
    <w:rsid w:val="00B92970"/>
    <w:rsid w:val="00B92C5E"/>
    <w:rsid w:val="00B92CFF"/>
    <w:rsid w:val="00B92D17"/>
    <w:rsid w:val="00B92F4F"/>
    <w:rsid w:val="00B92FA6"/>
    <w:rsid w:val="00B93196"/>
    <w:rsid w:val="00B93313"/>
    <w:rsid w:val="00B9338B"/>
    <w:rsid w:val="00B93518"/>
    <w:rsid w:val="00B93B3E"/>
    <w:rsid w:val="00B93B47"/>
    <w:rsid w:val="00B93D45"/>
    <w:rsid w:val="00B93DCD"/>
    <w:rsid w:val="00B93F13"/>
    <w:rsid w:val="00B94136"/>
    <w:rsid w:val="00B9415E"/>
    <w:rsid w:val="00B943CB"/>
    <w:rsid w:val="00B94566"/>
    <w:rsid w:val="00B9486E"/>
    <w:rsid w:val="00B94879"/>
    <w:rsid w:val="00B949F0"/>
    <w:rsid w:val="00B94AE7"/>
    <w:rsid w:val="00B94AED"/>
    <w:rsid w:val="00B94B2B"/>
    <w:rsid w:val="00B94B44"/>
    <w:rsid w:val="00B94B49"/>
    <w:rsid w:val="00B94B6D"/>
    <w:rsid w:val="00B94C99"/>
    <w:rsid w:val="00B94D34"/>
    <w:rsid w:val="00B94D6F"/>
    <w:rsid w:val="00B94E1B"/>
    <w:rsid w:val="00B94EDD"/>
    <w:rsid w:val="00B950DC"/>
    <w:rsid w:val="00B9515B"/>
    <w:rsid w:val="00B952F2"/>
    <w:rsid w:val="00B953F5"/>
    <w:rsid w:val="00B954ED"/>
    <w:rsid w:val="00B954FA"/>
    <w:rsid w:val="00B95569"/>
    <w:rsid w:val="00B9563E"/>
    <w:rsid w:val="00B9577F"/>
    <w:rsid w:val="00B957C2"/>
    <w:rsid w:val="00B9591D"/>
    <w:rsid w:val="00B95935"/>
    <w:rsid w:val="00B95F78"/>
    <w:rsid w:val="00B95FF7"/>
    <w:rsid w:val="00B964A5"/>
    <w:rsid w:val="00B96594"/>
    <w:rsid w:val="00B966BE"/>
    <w:rsid w:val="00B96708"/>
    <w:rsid w:val="00B967F6"/>
    <w:rsid w:val="00B969B8"/>
    <w:rsid w:val="00B96B2E"/>
    <w:rsid w:val="00B96BA9"/>
    <w:rsid w:val="00B96BE3"/>
    <w:rsid w:val="00B96CC0"/>
    <w:rsid w:val="00B96E1B"/>
    <w:rsid w:val="00B96E88"/>
    <w:rsid w:val="00B96EF2"/>
    <w:rsid w:val="00B97155"/>
    <w:rsid w:val="00B97214"/>
    <w:rsid w:val="00B9753F"/>
    <w:rsid w:val="00B9769A"/>
    <w:rsid w:val="00B976D3"/>
    <w:rsid w:val="00B97727"/>
    <w:rsid w:val="00B977A5"/>
    <w:rsid w:val="00B9781F"/>
    <w:rsid w:val="00B97AD3"/>
    <w:rsid w:val="00B97D54"/>
    <w:rsid w:val="00B97EB5"/>
    <w:rsid w:val="00BA01A8"/>
    <w:rsid w:val="00BA01F1"/>
    <w:rsid w:val="00BA066B"/>
    <w:rsid w:val="00BA07B4"/>
    <w:rsid w:val="00BA07D3"/>
    <w:rsid w:val="00BA07FC"/>
    <w:rsid w:val="00BA0C5A"/>
    <w:rsid w:val="00BA0F10"/>
    <w:rsid w:val="00BA0FE2"/>
    <w:rsid w:val="00BA1077"/>
    <w:rsid w:val="00BA118C"/>
    <w:rsid w:val="00BA11EB"/>
    <w:rsid w:val="00BA11FA"/>
    <w:rsid w:val="00BA1224"/>
    <w:rsid w:val="00BA13AF"/>
    <w:rsid w:val="00BA13FC"/>
    <w:rsid w:val="00BA14F3"/>
    <w:rsid w:val="00BA1531"/>
    <w:rsid w:val="00BA1696"/>
    <w:rsid w:val="00BA16CE"/>
    <w:rsid w:val="00BA18B4"/>
    <w:rsid w:val="00BA194E"/>
    <w:rsid w:val="00BA1BF7"/>
    <w:rsid w:val="00BA1ED5"/>
    <w:rsid w:val="00BA207D"/>
    <w:rsid w:val="00BA20B8"/>
    <w:rsid w:val="00BA225B"/>
    <w:rsid w:val="00BA2316"/>
    <w:rsid w:val="00BA242C"/>
    <w:rsid w:val="00BA25C6"/>
    <w:rsid w:val="00BA2669"/>
    <w:rsid w:val="00BA26DA"/>
    <w:rsid w:val="00BA2BC0"/>
    <w:rsid w:val="00BA2BCF"/>
    <w:rsid w:val="00BA2C28"/>
    <w:rsid w:val="00BA2CA1"/>
    <w:rsid w:val="00BA2F73"/>
    <w:rsid w:val="00BA2F96"/>
    <w:rsid w:val="00BA2FC6"/>
    <w:rsid w:val="00BA3220"/>
    <w:rsid w:val="00BA3347"/>
    <w:rsid w:val="00BA3370"/>
    <w:rsid w:val="00BA34B4"/>
    <w:rsid w:val="00BA3663"/>
    <w:rsid w:val="00BA3B6E"/>
    <w:rsid w:val="00BA3D16"/>
    <w:rsid w:val="00BA3D65"/>
    <w:rsid w:val="00BA40D2"/>
    <w:rsid w:val="00BA43E6"/>
    <w:rsid w:val="00BA440C"/>
    <w:rsid w:val="00BA4466"/>
    <w:rsid w:val="00BA47DF"/>
    <w:rsid w:val="00BA48F3"/>
    <w:rsid w:val="00BA4AAC"/>
    <w:rsid w:val="00BA4CBC"/>
    <w:rsid w:val="00BA4FF2"/>
    <w:rsid w:val="00BA504B"/>
    <w:rsid w:val="00BA50B4"/>
    <w:rsid w:val="00BA5274"/>
    <w:rsid w:val="00BA539B"/>
    <w:rsid w:val="00BA56B1"/>
    <w:rsid w:val="00BA5A24"/>
    <w:rsid w:val="00BA5DBC"/>
    <w:rsid w:val="00BA5DD8"/>
    <w:rsid w:val="00BA5E96"/>
    <w:rsid w:val="00BA5F00"/>
    <w:rsid w:val="00BA62CB"/>
    <w:rsid w:val="00BA6573"/>
    <w:rsid w:val="00BA65AE"/>
    <w:rsid w:val="00BA662D"/>
    <w:rsid w:val="00BA6674"/>
    <w:rsid w:val="00BA66AB"/>
    <w:rsid w:val="00BA66F8"/>
    <w:rsid w:val="00BA6938"/>
    <w:rsid w:val="00BA6B72"/>
    <w:rsid w:val="00BA6C51"/>
    <w:rsid w:val="00BA6E2B"/>
    <w:rsid w:val="00BA6E9B"/>
    <w:rsid w:val="00BA6F2C"/>
    <w:rsid w:val="00BA6F7F"/>
    <w:rsid w:val="00BA732F"/>
    <w:rsid w:val="00BA73C9"/>
    <w:rsid w:val="00BA73E3"/>
    <w:rsid w:val="00BA7576"/>
    <w:rsid w:val="00BA7639"/>
    <w:rsid w:val="00BA78B0"/>
    <w:rsid w:val="00BA7948"/>
    <w:rsid w:val="00BA7B5F"/>
    <w:rsid w:val="00BA7BBF"/>
    <w:rsid w:val="00BA7E4A"/>
    <w:rsid w:val="00BA7FE5"/>
    <w:rsid w:val="00BB033A"/>
    <w:rsid w:val="00BB0454"/>
    <w:rsid w:val="00BB0468"/>
    <w:rsid w:val="00BB0511"/>
    <w:rsid w:val="00BB05CE"/>
    <w:rsid w:val="00BB061E"/>
    <w:rsid w:val="00BB0771"/>
    <w:rsid w:val="00BB0A3E"/>
    <w:rsid w:val="00BB0E5C"/>
    <w:rsid w:val="00BB0F0B"/>
    <w:rsid w:val="00BB0F9C"/>
    <w:rsid w:val="00BB1000"/>
    <w:rsid w:val="00BB10A1"/>
    <w:rsid w:val="00BB15A8"/>
    <w:rsid w:val="00BB16A5"/>
    <w:rsid w:val="00BB1BFE"/>
    <w:rsid w:val="00BB20BE"/>
    <w:rsid w:val="00BB23D9"/>
    <w:rsid w:val="00BB2434"/>
    <w:rsid w:val="00BB2526"/>
    <w:rsid w:val="00BB2538"/>
    <w:rsid w:val="00BB2552"/>
    <w:rsid w:val="00BB2834"/>
    <w:rsid w:val="00BB2A5D"/>
    <w:rsid w:val="00BB2AB5"/>
    <w:rsid w:val="00BB2B06"/>
    <w:rsid w:val="00BB2B77"/>
    <w:rsid w:val="00BB2CD1"/>
    <w:rsid w:val="00BB2D32"/>
    <w:rsid w:val="00BB2DCD"/>
    <w:rsid w:val="00BB3171"/>
    <w:rsid w:val="00BB319D"/>
    <w:rsid w:val="00BB33D1"/>
    <w:rsid w:val="00BB343A"/>
    <w:rsid w:val="00BB356F"/>
    <w:rsid w:val="00BB36EE"/>
    <w:rsid w:val="00BB3753"/>
    <w:rsid w:val="00BB37AA"/>
    <w:rsid w:val="00BB382A"/>
    <w:rsid w:val="00BB3B54"/>
    <w:rsid w:val="00BB3F64"/>
    <w:rsid w:val="00BB3FCC"/>
    <w:rsid w:val="00BB427D"/>
    <w:rsid w:val="00BB44BB"/>
    <w:rsid w:val="00BB44DF"/>
    <w:rsid w:val="00BB45F6"/>
    <w:rsid w:val="00BB4830"/>
    <w:rsid w:val="00BB4863"/>
    <w:rsid w:val="00BB4898"/>
    <w:rsid w:val="00BB4A4B"/>
    <w:rsid w:val="00BB4A87"/>
    <w:rsid w:val="00BB4ACA"/>
    <w:rsid w:val="00BB4E27"/>
    <w:rsid w:val="00BB4F64"/>
    <w:rsid w:val="00BB501B"/>
    <w:rsid w:val="00BB5045"/>
    <w:rsid w:val="00BB5065"/>
    <w:rsid w:val="00BB50A1"/>
    <w:rsid w:val="00BB53E0"/>
    <w:rsid w:val="00BB54C6"/>
    <w:rsid w:val="00BB55B9"/>
    <w:rsid w:val="00BB561B"/>
    <w:rsid w:val="00BB57B6"/>
    <w:rsid w:val="00BB57D5"/>
    <w:rsid w:val="00BB58F9"/>
    <w:rsid w:val="00BB5A02"/>
    <w:rsid w:val="00BB5CEB"/>
    <w:rsid w:val="00BB5D95"/>
    <w:rsid w:val="00BB5E45"/>
    <w:rsid w:val="00BB5EE1"/>
    <w:rsid w:val="00BB602A"/>
    <w:rsid w:val="00BB6036"/>
    <w:rsid w:val="00BB608E"/>
    <w:rsid w:val="00BB60B1"/>
    <w:rsid w:val="00BB63A4"/>
    <w:rsid w:val="00BB6792"/>
    <w:rsid w:val="00BB67AB"/>
    <w:rsid w:val="00BB67D9"/>
    <w:rsid w:val="00BB6B33"/>
    <w:rsid w:val="00BB6D86"/>
    <w:rsid w:val="00BB7258"/>
    <w:rsid w:val="00BB7639"/>
    <w:rsid w:val="00BB7677"/>
    <w:rsid w:val="00BB768A"/>
    <w:rsid w:val="00BB7690"/>
    <w:rsid w:val="00BB76A6"/>
    <w:rsid w:val="00BB77E7"/>
    <w:rsid w:val="00BB78E8"/>
    <w:rsid w:val="00BB7A32"/>
    <w:rsid w:val="00BB7AA1"/>
    <w:rsid w:val="00BB7C70"/>
    <w:rsid w:val="00BB7D35"/>
    <w:rsid w:val="00BB7DB5"/>
    <w:rsid w:val="00BB7E37"/>
    <w:rsid w:val="00BB7F00"/>
    <w:rsid w:val="00BB7FF0"/>
    <w:rsid w:val="00BC008E"/>
    <w:rsid w:val="00BC01FA"/>
    <w:rsid w:val="00BC04D0"/>
    <w:rsid w:val="00BC0587"/>
    <w:rsid w:val="00BC0800"/>
    <w:rsid w:val="00BC0913"/>
    <w:rsid w:val="00BC09D7"/>
    <w:rsid w:val="00BC0AB8"/>
    <w:rsid w:val="00BC0C26"/>
    <w:rsid w:val="00BC0C86"/>
    <w:rsid w:val="00BC0E78"/>
    <w:rsid w:val="00BC0ECA"/>
    <w:rsid w:val="00BC0F31"/>
    <w:rsid w:val="00BC0F71"/>
    <w:rsid w:val="00BC1026"/>
    <w:rsid w:val="00BC1049"/>
    <w:rsid w:val="00BC10D0"/>
    <w:rsid w:val="00BC118E"/>
    <w:rsid w:val="00BC1246"/>
    <w:rsid w:val="00BC12AC"/>
    <w:rsid w:val="00BC1313"/>
    <w:rsid w:val="00BC14AD"/>
    <w:rsid w:val="00BC1698"/>
    <w:rsid w:val="00BC172C"/>
    <w:rsid w:val="00BC195C"/>
    <w:rsid w:val="00BC19B1"/>
    <w:rsid w:val="00BC19B4"/>
    <w:rsid w:val="00BC1B0B"/>
    <w:rsid w:val="00BC1CE3"/>
    <w:rsid w:val="00BC1D42"/>
    <w:rsid w:val="00BC1EB6"/>
    <w:rsid w:val="00BC1EF6"/>
    <w:rsid w:val="00BC2098"/>
    <w:rsid w:val="00BC210F"/>
    <w:rsid w:val="00BC2122"/>
    <w:rsid w:val="00BC214B"/>
    <w:rsid w:val="00BC2222"/>
    <w:rsid w:val="00BC22D8"/>
    <w:rsid w:val="00BC23A4"/>
    <w:rsid w:val="00BC24A6"/>
    <w:rsid w:val="00BC24C4"/>
    <w:rsid w:val="00BC2602"/>
    <w:rsid w:val="00BC2880"/>
    <w:rsid w:val="00BC289E"/>
    <w:rsid w:val="00BC28CF"/>
    <w:rsid w:val="00BC29BD"/>
    <w:rsid w:val="00BC2A89"/>
    <w:rsid w:val="00BC2ABF"/>
    <w:rsid w:val="00BC2AFE"/>
    <w:rsid w:val="00BC2C94"/>
    <w:rsid w:val="00BC2D24"/>
    <w:rsid w:val="00BC2FF0"/>
    <w:rsid w:val="00BC2FFF"/>
    <w:rsid w:val="00BC3017"/>
    <w:rsid w:val="00BC321D"/>
    <w:rsid w:val="00BC34B7"/>
    <w:rsid w:val="00BC35C0"/>
    <w:rsid w:val="00BC3790"/>
    <w:rsid w:val="00BC392E"/>
    <w:rsid w:val="00BC3D5B"/>
    <w:rsid w:val="00BC3FE8"/>
    <w:rsid w:val="00BC4267"/>
    <w:rsid w:val="00BC42EF"/>
    <w:rsid w:val="00BC46A4"/>
    <w:rsid w:val="00BC4925"/>
    <w:rsid w:val="00BC49DC"/>
    <w:rsid w:val="00BC4A04"/>
    <w:rsid w:val="00BC4A25"/>
    <w:rsid w:val="00BC4DDF"/>
    <w:rsid w:val="00BC4FCE"/>
    <w:rsid w:val="00BC5266"/>
    <w:rsid w:val="00BC52BC"/>
    <w:rsid w:val="00BC54B7"/>
    <w:rsid w:val="00BC56E2"/>
    <w:rsid w:val="00BC56E3"/>
    <w:rsid w:val="00BC5720"/>
    <w:rsid w:val="00BC5758"/>
    <w:rsid w:val="00BC5817"/>
    <w:rsid w:val="00BC589F"/>
    <w:rsid w:val="00BC5A33"/>
    <w:rsid w:val="00BC5AFC"/>
    <w:rsid w:val="00BC5D4F"/>
    <w:rsid w:val="00BC5E3D"/>
    <w:rsid w:val="00BC5E5A"/>
    <w:rsid w:val="00BC5E6B"/>
    <w:rsid w:val="00BC5ECE"/>
    <w:rsid w:val="00BC5FBE"/>
    <w:rsid w:val="00BC615B"/>
    <w:rsid w:val="00BC6180"/>
    <w:rsid w:val="00BC62AC"/>
    <w:rsid w:val="00BC6351"/>
    <w:rsid w:val="00BC6574"/>
    <w:rsid w:val="00BC6619"/>
    <w:rsid w:val="00BC66FB"/>
    <w:rsid w:val="00BC691B"/>
    <w:rsid w:val="00BC6F74"/>
    <w:rsid w:val="00BC7075"/>
    <w:rsid w:val="00BC71A9"/>
    <w:rsid w:val="00BC7223"/>
    <w:rsid w:val="00BC7244"/>
    <w:rsid w:val="00BC73F1"/>
    <w:rsid w:val="00BC7A7E"/>
    <w:rsid w:val="00BC7ABC"/>
    <w:rsid w:val="00BC7B88"/>
    <w:rsid w:val="00BC7CF4"/>
    <w:rsid w:val="00BC7EBC"/>
    <w:rsid w:val="00BC7F58"/>
    <w:rsid w:val="00BC7FAC"/>
    <w:rsid w:val="00BD0025"/>
    <w:rsid w:val="00BD02F0"/>
    <w:rsid w:val="00BD0612"/>
    <w:rsid w:val="00BD06A7"/>
    <w:rsid w:val="00BD0700"/>
    <w:rsid w:val="00BD078B"/>
    <w:rsid w:val="00BD0803"/>
    <w:rsid w:val="00BD08BA"/>
    <w:rsid w:val="00BD08E8"/>
    <w:rsid w:val="00BD0923"/>
    <w:rsid w:val="00BD0A30"/>
    <w:rsid w:val="00BD0A3E"/>
    <w:rsid w:val="00BD0B66"/>
    <w:rsid w:val="00BD0BAA"/>
    <w:rsid w:val="00BD0ED5"/>
    <w:rsid w:val="00BD0ED6"/>
    <w:rsid w:val="00BD0F14"/>
    <w:rsid w:val="00BD0F48"/>
    <w:rsid w:val="00BD123C"/>
    <w:rsid w:val="00BD1256"/>
    <w:rsid w:val="00BD142A"/>
    <w:rsid w:val="00BD155D"/>
    <w:rsid w:val="00BD17A6"/>
    <w:rsid w:val="00BD17C0"/>
    <w:rsid w:val="00BD1A55"/>
    <w:rsid w:val="00BD1A85"/>
    <w:rsid w:val="00BD1BC9"/>
    <w:rsid w:val="00BD1CE6"/>
    <w:rsid w:val="00BD1E24"/>
    <w:rsid w:val="00BD1F2F"/>
    <w:rsid w:val="00BD2099"/>
    <w:rsid w:val="00BD21A0"/>
    <w:rsid w:val="00BD21CE"/>
    <w:rsid w:val="00BD22A0"/>
    <w:rsid w:val="00BD2387"/>
    <w:rsid w:val="00BD24E8"/>
    <w:rsid w:val="00BD2530"/>
    <w:rsid w:val="00BD2636"/>
    <w:rsid w:val="00BD27C0"/>
    <w:rsid w:val="00BD2AE9"/>
    <w:rsid w:val="00BD2E27"/>
    <w:rsid w:val="00BD2E29"/>
    <w:rsid w:val="00BD3085"/>
    <w:rsid w:val="00BD3228"/>
    <w:rsid w:val="00BD34BD"/>
    <w:rsid w:val="00BD3ADB"/>
    <w:rsid w:val="00BD3CB4"/>
    <w:rsid w:val="00BD3E6E"/>
    <w:rsid w:val="00BD3F5D"/>
    <w:rsid w:val="00BD4159"/>
    <w:rsid w:val="00BD419C"/>
    <w:rsid w:val="00BD45C6"/>
    <w:rsid w:val="00BD4734"/>
    <w:rsid w:val="00BD4CAC"/>
    <w:rsid w:val="00BD4D40"/>
    <w:rsid w:val="00BD4DFF"/>
    <w:rsid w:val="00BD5197"/>
    <w:rsid w:val="00BD51F7"/>
    <w:rsid w:val="00BD536D"/>
    <w:rsid w:val="00BD5487"/>
    <w:rsid w:val="00BD597A"/>
    <w:rsid w:val="00BD5A53"/>
    <w:rsid w:val="00BD5E5B"/>
    <w:rsid w:val="00BD6013"/>
    <w:rsid w:val="00BD6136"/>
    <w:rsid w:val="00BD620D"/>
    <w:rsid w:val="00BD6471"/>
    <w:rsid w:val="00BD65CC"/>
    <w:rsid w:val="00BD6646"/>
    <w:rsid w:val="00BD6968"/>
    <w:rsid w:val="00BD6B15"/>
    <w:rsid w:val="00BD6DAA"/>
    <w:rsid w:val="00BD6E30"/>
    <w:rsid w:val="00BD6F7D"/>
    <w:rsid w:val="00BD714D"/>
    <w:rsid w:val="00BD72AB"/>
    <w:rsid w:val="00BD7470"/>
    <w:rsid w:val="00BD758B"/>
    <w:rsid w:val="00BD758E"/>
    <w:rsid w:val="00BD7643"/>
    <w:rsid w:val="00BD7827"/>
    <w:rsid w:val="00BD78F8"/>
    <w:rsid w:val="00BD7C39"/>
    <w:rsid w:val="00BD7C4B"/>
    <w:rsid w:val="00BD7CD7"/>
    <w:rsid w:val="00BD7FC4"/>
    <w:rsid w:val="00BE0182"/>
    <w:rsid w:val="00BE0220"/>
    <w:rsid w:val="00BE0277"/>
    <w:rsid w:val="00BE02F5"/>
    <w:rsid w:val="00BE043B"/>
    <w:rsid w:val="00BE04DE"/>
    <w:rsid w:val="00BE0947"/>
    <w:rsid w:val="00BE098C"/>
    <w:rsid w:val="00BE0A01"/>
    <w:rsid w:val="00BE0B07"/>
    <w:rsid w:val="00BE0B8D"/>
    <w:rsid w:val="00BE0BED"/>
    <w:rsid w:val="00BE0CE0"/>
    <w:rsid w:val="00BE0DA7"/>
    <w:rsid w:val="00BE1178"/>
    <w:rsid w:val="00BE11AB"/>
    <w:rsid w:val="00BE1306"/>
    <w:rsid w:val="00BE1466"/>
    <w:rsid w:val="00BE1574"/>
    <w:rsid w:val="00BE1923"/>
    <w:rsid w:val="00BE1B33"/>
    <w:rsid w:val="00BE1CC0"/>
    <w:rsid w:val="00BE2049"/>
    <w:rsid w:val="00BE210B"/>
    <w:rsid w:val="00BE216E"/>
    <w:rsid w:val="00BE22A5"/>
    <w:rsid w:val="00BE23B2"/>
    <w:rsid w:val="00BE26B3"/>
    <w:rsid w:val="00BE274F"/>
    <w:rsid w:val="00BE28BB"/>
    <w:rsid w:val="00BE2AF7"/>
    <w:rsid w:val="00BE2CD1"/>
    <w:rsid w:val="00BE2D67"/>
    <w:rsid w:val="00BE2E60"/>
    <w:rsid w:val="00BE3041"/>
    <w:rsid w:val="00BE320E"/>
    <w:rsid w:val="00BE3381"/>
    <w:rsid w:val="00BE33CE"/>
    <w:rsid w:val="00BE34F1"/>
    <w:rsid w:val="00BE36EB"/>
    <w:rsid w:val="00BE3702"/>
    <w:rsid w:val="00BE3803"/>
    <w:rsid w:val="00BE3866"/>
    <w:rsid w:val="00BE3AFF"/>
    <w:rsid w:val="00BE3B73"/>
    <w:rsid w:val="00BE3F88"/>
    <w:rsid w:val="00BE4022"/>
    <w:rsid w:val="00BE4351"/>
    <w:rsid w:val="00BE4416"/>
    <w:rsid w:val="00BE442E"/>
    <w:rsid w:val="00BE44CB"/>
    <w:rsid w:val="00BE4516"/>
    <w:rsid w:val="00BE4602"/>
    <w:rsid w:val="00BE4736"/>
    <w:rsid w:val="00BE4A3D"/>
    <w:rsid w:val="00BE4E14"/>
    <w:rsid w:val="00BE4E3D"/>
    <w:rsid w:val="00BE4F02"/>
    <w:rsid w:val="00BE500A"/>
    <w:rsid w:val="00BE50C0"/>
    <w:rsid w:val="00BE50F1"/>
    <w:rsid w:val="00BE529C"/>
    <w:rsid w:val="00BE5456"/>
    <w:rsid w:val="00BE54CD"/>
    <w:rsid w:val="00BE553F"/>
    <w:rsid w:val="00BE55A4"/>
    <w:rsid w:val="00BE56ED"/>
    <w:rsid w:val="00BE57B7"/>
    <w:rsid w:val="00BE5829"/>
    <w:rsid w:val="00BE58AF"/>
    <w:rsid w:val="00BE59CB"/>
    <w:rsid w:val="00BE5D30"/>
    <w:rsid w:val="00BE5D95"/>
    <w:rsid w:val="00BE5E17"/>
    <w:rsid w:val="00BE5E9A"/>
    <w:rsid w:val="00BE5EC7"/>
    <w:rsid w:val="00BE6052"/>
    <w:rsid w:val="00BE6226"/>
    <w:rsid w:val="00BE640E"/>
    <w:rsid w:val="00BE643F"/>
    <w:rsid w:val="00BE64D9"/>
    <w:rsid w:val="00BE6510"/>
    <w:rsid w:val="00BE677F"/>
    <w:rsid w:val="00BE6D12"/>
    <w:rsid w:val="00BE6E03"/>
    <w:rsid w:val="00BE6F62"/>
    <w:rsid w:val="00BE6FCD"/>
    <w:rsid w:val="00BE6FD6"/>
    <w:rsid w:val="00BE7271"/>
    <w:rsid w:val="00BE73C2"/>
    <w:rsid w:val="00BE747A"/>
    <w:rsid w:val="00BE74FA"/>
    <w:rsid w:val="00BE7588"/>
    <w:rsid w:val="00BE75B1"/>
    <w:rsid w:val="00BE7667"/>
    <w:rsid w:val="00BE766B"/>
    <w:rsid w:val="00BE7CBB"/>
    <w:rsid w:val="00BE7DF5"/>
    <w:rsid w:val="00BF009C"/>
    <w:rsid w:val="00BF0412"/>
    <w:rsid w:val="00BF044C"/>
    <w:rsid w:val="00BF05FA"/>
    <w:rsid w:val="00BF0712"/>
    <w:rsid w:val="00BF07DF"/>
    <w:rsid w:val="00BF07F0"/>
    <w:rsid w:val="00BF08DC"/>
    <w:rsid w:val="00BF0A49"/>
    <w:rsid w:val="00BF0B46"/>
    <w:rsid w:val="00BF0C8C"/>
    <w:rsid w:val="00BF0D20"/>
    <w:rsid w:val="00BF0F70"/>
    <w:rsid w:val="00BF1000"/>
    <w:rsid w:val="00BF1050"/>
    <w:rsid w:val="00BF1059"/>
    <w:rsid w:val="00BF10A3"/>
    <w:rsid w:val="00BF1327"/>
    <w:rsid w:val="00BF132F"/>
    <w:rsid w:val="00BF1484"/>
    <w:rsid w:val="00BF161B"/>
    <w:rsid w:val="00BF1969"/>
    <w:rsid w:val="00BF1EA5"/>
    <w:rsid w:val="00BF206A"/>
    <w:rsid w:val="00BF207B"/>
    <w:rsid w:val="00BF2244"/>
    <w:rsid w:val="00BF2254"/>
    <w:rsid w:val="00BF2261"/>
    <w:rsid w:val="00BF22E9"/>
    <w:rsid w:val="00BF2314"/>
    <w:rsid w:val="00BF278B"/>
    <w:rsid w:val="00BF28DA"/>
    <w:rsid w:val="00BF290A"/>
    <w:rsid w:val="00BF2973"/>
    <w:rsid w:val="00BF29F6"/>
    <w:rsid w:val="00BF2A17"/>
    <w:rsid w:val="00BF2D5B"/>
    <w:rsid w:val="00BF2E08"/>
    <w:rsid w:val="00BF2E0A"/>
    <w:rsid w:val="00BF2F7B"/>
    <w:rsid w:val="00BF2FE7"/>
    <w:rsid w:val="00BF3254"/>
    <w:rsid w:val="00BF375E"/>
    <w:rsid w:val="00BF3A47"/>
    <w:rsid w:val="00BF3B1F"/>
    <w:rsid w:val="00BF3B30"/>
    <w:rsid w:val="00BF3B94"/>
    <w:rsid w:val="00BF3CB3"/>
    <w:rsid w:val="00BF3DD3"/>
    <w:rsid w:val="00BF3EFA"/>
    <w:rsid w:val="00BF3FF5"/>
    <w:rsid w:val="00BF4080"/>
    <w:rsid w:val="00BF413D"/>
    <w:rsid w:val="00BF41C8"/>
    <w:rsid w:val="00BF4409"/>
    <w:rsid w:val="00BF446A"/>
    <w:rsid w:val="00BF474F"/>
    <w:rsid w:val="00BF4805"/>
    <w:rsid w:val="00BF48B7"/>
    <w:rsid w:val="00BF4A03"/>
    <w:rsid w:val="00BF4BC1"/>
    <w:rsid w:val="00BF4BE2"/>
    <w:rsid w:val="00BF4C48"/>
    <w:rsid w:val="00BF4CF6"/>
    <w:rsid w:val="00BF4EC1"/>
    <w:rsid w:val="00BF4F6E"/>
    <w:rsid w:val="00BF501B"/>
    <w:rsid w:val="00BF5419"/>
    <w:rsid w:val="00BF547B"/>
    <w:rsid w:val="00BF5683"/>
    <w:rsid w:val="00BF56F8"/>
    <w:rsid w:val="00BF595A"/>
    <w:rsid w:val="00BF59BF"/>
    <w:rsid w:val="00BF5A42"/>
    <w:rsid w:val="00BF5C7D"/>
    <w:rsid w:val="00BF5E65"/>
    <w:rsid w:val="00BF5EF2"/>
    <w:rsid w:val="00BF6006"/>
    <w:rsid w:val="00BF60F1"/>
    <w:rsid w:val="00BF63AF"/>
    <w:rsid w:val="00BF63ED"/>
    <w:rsid w:val="00BF64A2"/>
    <w:rsid w:val="00BF64B6"/>
    <w:rsid w:val="00BF651F"/>
    <w:rsid w:val="00BF6592"/>
    <w:rsid w:val="00BF671A"/>
    <w:rsid w:val="00BF6819"/>
    <w:rsid w:val="00BF6849"/>
    <w:rsid w:val="00BF695C"/>
    <w:rsid w:val="00BF6DB4"/>
    <w:rsid w:val="00BF6F8D"/>
    <w:rsid w:val="00BF6FFF"/>
    <w:rsid w:val="00BF7013"/>
    <w:rsid w:val="00BF7253"/>
    <w:rsid w:val="00BF7375"/>
    <w:rsid w:val="00BF74B3"/>
    <w:rsid w:val="00BF7763"/>
    <w:rsid w:val="00BF7782"/>
    <w:rsid w:val="00BF7A73"/>
    <w:rsid w:val="00BF7A83"/>
    <w:rsid w:val="00BF7AD0"/>
    <w:rsid w:val="00BF7CE9"/>
    <w:rsid w:val="00BF7D4F"/>
    <w:rsid w:val="00BF7DCA"/>
    <w:rsid w:val="00BF7E1E"/>
    <w:rsid w:val="00BF7E3D"/>
    <w:rsid w:val="00BF7FC2"/>
    <w:rsid w:val="00C00A12"/>
    <w:rsid w:val="00C00E01"/>
    <w:rsid w:val="00C00E44"/>
    <w:rsid w:val="00C00E4A"/>
    <w:rsid w:val="00C00F53"/>
    <w:rsid w:val="00C00F76"/>
    <w:rsid w:val="00C01621"/>
    <w:rsid w:val="00C01670"/>
    <w:rsid w:val="00C0183C"/>
    <w:rsid w:val="00C01928"/>
    <w:rsid w:val="00C01950"/>
    <w:rsid w:val="00C019EE"/>
    <w:rsid w:val="00C01B3A"/>
    <w:rsid w:val="00C01C18"/>
    <w:rsid w:val="00C01DF5"/>
    <w:rsid w:val="00C01E95"/>
    <w:rsid w:val="00C01F12"/>
    <w:rsid w:val="00C01FEE"/>
    <w:rsid w:val="00C021D6"/>
    <w:rsid w:val="00C0220E"/>
    <w:rsid w:val="00C02222"/>
    <w:rsid w:val="00C0222F"/>
    <w:rsid w:val="00C022DD"/>
    <w:rsid w:val="00C0233C"/>
    <w:rsid w:val="00C02456"/>
    <w:rsid w:val="00C025D6"/>
    <w:rsid w:val="00C02854"/>
    <w:rsid w:val="00C02A25"/>
    <w:rsid w:val="00C02A3F"/>
    <w:rsid w:val="00C02B06"/>
    <w:rsid w:val="00C02B94"/>
    <w:rsid w:val="00C02C84"/>
    <w:rsid w:val="00C02DD1"/>
    <w:rsid w:val="00C02E61"/>
    <w:rsid w:val="00C030FB"/>
    <w:rsid w:val="00C03122"/>
    <w:rsid w:val="00C031C0"/>
    <w:rsid w:val="00C03281"/>
    <w:rsid w:val="00C0337F"/>
    <w:rsid w:val="00C03381"/>
    <w:rsid w:val="00C03397"/>
    <w:rsid w:val="00C034CD"/>
    <w:rsid w:val="00C03742"/>
    <w:rsid w:val="00C03A82"/>
    <w:rsid w:val="00C03AAA"/>
    <w:rsid w:val="00C03DA6"/>
    <w:rsid w:val="00C03FB0"/>
    <w:rsid w:val="00C04007"/>
    <w:rsid w:val="00C0408F"/>
    <w:rsid w:val="00C04163"/>
    <w:rsid w:val="00C042EB"/>
    <w:rsid w:val="00C04316"/>
    <w:rsid w:val="00C04375"/>
    <w:rsid w:val="00C044E0"/>
    <w:rsid w:val="00C045DB"/>
    <w:rsid w:val="00C04A6D"/>
    <w:rsid w:val="00C04ADE"/>
    <w:rsid w:val="00C04CDD"/>
    <w:rsid w:val="00C04D5D"/>
    <w:rsid w:val="00C04EC8"/>
    <w:rsid w:val="00C05065"/>
    <w:rsid w:val="00C0511A"/>
    <w:rsid w:val="00C05670"/>
    <w:rsid w:val="00C05695"/>
    <w:rsid w:val="00C056CA"/>
    <w:rsid w:val="00C056CE"/>
    <w:rsid w:val="00C05A54"/>
    <w:rsid w:val="00C05A5E"/>
    <w:rsid w:val="00C05BC6"/>
    <w:rsid w:val="00C05C3F"/>
    <w:rsid w:val="00C05D7F"/>
    <w:rsid w:val="00C05D98"/>
    <w:rsid w:val="00C05EBC"/>
    <w:rsid w:val="00C061BB"/>
    <w:rsid w:val="00C062AB"/>
    <w:rsid w:val="00C06305"/>
    <w:rsid w:val="00C06341"/>
    <w:rsid w:val="00C063A9"/>
    <w:rsid w:val="00C0649F"/>
    <w:rsid w:val="00C069DF"/>
    <w:rsid w:val="00C06B46"/>
    <w:rsid w:val="00C06C67"/>
    <w:rsid w:val="00C06C84"/>
    <w:rsid w:val="00C06E36"/>
    <w:rsid w:val="00C06F51"/>
    <w:rsid w:val="00C070CC"/>
    <w:rsid w:val="00C07297"/>
    <w:rsid w:val="00C07438"/>
    <w:rsid w:val="00C0747E"/>
    <w:rsid w:val="00C077D2"/>
    <w:rsid w:val="00C07937"/>
    <w:rsid w:val="00C07989"/>
    <w:rsid w:val="00C079F5"/>
    <w:rsid w:val="00C07AC9"/>
    <w:rsid w:val="00C07BEC"/>
    <w:rsid w:val="00C07D7D"/>
    <w:rsid w:val="00C07E1E"/>
    <w:rsid w:val="00C10205"/>
    <w:rsid w:val="00C1047B"/>
    <w:rsid w:val="00C1085E"/>
    <w:rsid w:val="00C10877"/>
    <w:rsid w:val="00C108EC"/>
    <w:rsid w:val="00C109A5"/>
    <w:rsid w:val="00C10A81"/>
    <w:rsid w:val="00C10C13"/>
    <w:rsid w:val="00C10CD6"/>
    <w:rsid w:val="00C10CE1"/>
    <w:rsid w:val="00C10E88"/>
    <w:rsid w:val="00C10F32"/>
    <w:rsid w:val="00C11266"/>
    <w:rsid w:val="00C112BC"/>
    <w:rsid w:val="00C116A9"/>
    <w:rsid w:val="00C116DE"/>
    <w:rsid w:val="00C117BA"/>
    <w:rsid w:val="00C11804"/>
    <w:rsid w:val="00C11D6D"/>
    <w:rsid w:val="00C11EDF"/>
    <w:rsid w:val="00C1204B"/>
    <w:rsid w:val="00C121B8"/>
    <w:rsid w:val="00C12396"/>
    <w:rsid w:val="00C1255C"/>
    <w:rsid w:val="00C126E8"/>
    <w:rsid w:val="00C12742"/>
    <w:rsid w:val="00C12BF4"/>
    <w:rsid w:val="00C12F17"/>
    <w:rsid w:val="00C12FF0"/>
    <w:rsid w:val="00C131A0"/>
    <w:rsid w:val="00C133DF"/>
    <w:rsid w:val="00C13459"/>
    <w:rsid w:val="00C13480"/>
    <w:rsid w:val="00C13580"/>
    <w:rsid w:val="00C1367F"/>
    <w:rsid w:val="00C13804"/>
    <w:rsid w:val="00C13958"/>
    <w:rsid w:val="00C139A8"/>
    <w:rsid w:val="00C139E9"/>
    <w:rsid w:val="00C13AEE"/>
    <w:rsid w:val="00C13BDD"/>
    <w:rsid w:val="00C13C49"/>
    <w:rsid w:val="00C1421D"/>
    <w:rsid w:val="00C1422A"/>
    <w:rsid w:val="00C1433F"/>
    <w:rsid w:val="00C144A9"/>
    <w:rsid w:val="00C1453C"/>
    <w:rsid w:val="00C1464B"/>
    <w:rsid w:val="00C147C4"/>
    <w:rsid w:val="00C14823"/>
    <w:rsid w:val="00C14864"/>
    <w:rsid w:val="00C1496E"/>
    <w:rsid w:val="00C14999"/>
    <w:rsid w:val="00C14A4D"/>
    <w:rsid w:val="00C14B17"/>
    <w:rsid w:val="00C14C2E"/>
    <w:rsid w:val="00C14ED8"/>
    <w:rsid w:val="00C15028"/>
    <w:rsid w:val="00C150D0"/>
    <w:rsid w:val="00C15254"/>
    <w:rsid w:val="00C152D8"/>
    <w:rsid w:val="00C1565C"/>
    <w:rsid w:val="00C156E9"/>
    <w:rsid w:val="00C15858"/>
    <w:rsid w:val="00C15A6F"/>
    <w:rsid w:val="00C15C79"/>
    <w:rsid w:val="00C15D76"/>
    <w:rsid w:val="00C15DF5"/>
    <w:rsid w:val="00C15F92"/>
    <w:rsid w:val="00C160F5"/>
    <w:rsid w:val="00C16257"/>
    <w:rsid w:val="00C16267"/>
    <w:rsid w:val="00C1661F"/>
    <w:rsid w:val="00C1673B"/>
    <w:rsid w:val="00C16874"/>
    <w:rsid w:val="00C168BB"/>
    <w:rsid w:val="00C16BE7"/>
    <w:rsid w:val="00C172D8"/>
    <w:rsid w:val="00C174C4"/>
    <w:rsid w:val="00C1754D"/>
    <w:rsid w:val="00C1768E"/>
    <w:rsid w:val="00C17AA7"/>
    <w:rsid w:val="00C17B2F"/>
    <w:rsid w:val="00C17C0C"/>
    <w:rsid w:val="00C17F4D"/>
    <w:rsid w:val="00C201DE"/>
    <w:rsid w:val="00C202B7"/>
    <w:rsid w:val="00C2032A"/>
    <w:rsid w:val="00C205DD"/>
    <w:rsid w:val="00C206DB"/>
    <w:rsid w:val="00C20753"/>
    <w:rsid w:val="00C2075C"/>
    <w:rsid w:val="00C20844"/>
    <w:rsid w:val="00C21124"/>
    <w:rsid w:val="00C2122A"/>
    <w:rsid w:val="00C2130F"/>
    <w:rsid w:val="00C214E0"/>
    <w:rsid w:val="00C21666"/>
    <w:rsid w:val="00C216EF"/>
    <w:rsid w:val="00C2186E"/>
    <w:rsid w:val="00C219AA"/>
    <w:rsid w:val="00C21A84"/>
    <w:rsid w:val="00C21B5F"/>
    <w:rsid w:val="00C21BF7"/>
    <w:rsid w:val="00C21C22"/>
    <w:rsid w:val="00C21E8E"/>
    <w:rsid w:val="00C22194"/>
    <w:rsid w:val="00C2222A"/>
    <w:rsid w:val="00C22412"/>
    <w:rsid w:val="00C227E5"/>
    <w:rsid w:val="00C2285D"/>
    <w:rsid w:val="00C22979"/>
    <w:rsid w:val="00C22B25"/>
    <w:rsid w:val="00C22DE7"/>
    <w:rsid w:val="00C23386"/>
    <w:rsid w:val="00C233CD"/>
    <w:rsid w:val="00C2342A"/>
    <w:rsid w:val="00C23685"/>
    <w:rsid w:val="00C23A77"/>
    <w:rsid w:val="00C23C60"/>
    <w:rsid w:val="00C23C7B"/>
    <w:rsid w:val="00C23CBE"/>
    <w:rsid w:val="00C23D6A"/>
    <w:rsid w:val="00C23E67"/>
    <w:rsid w:val="00C240BD"/>
    <w:rsid w:val="00C2419D"/>
    <w:rsid w:val="00C242EE"/>
    <w:rsid w:val="00C243A8"/>
    <w:rsid w:val="00C244F2"/>
    <w:rsid w:val="00C2461A"/>
    <w:rsid w:val="00C24642"/>
    <w:rsid w:val="00C2484F"/>
    <w:rsid w:val="00C24880"/>
    <w:rsid w:val="00C24A6C"/>
    <w:rsid w:val="00C24AAB"/>
    <w:rsid w:val="00C24B04"/>
    <w:rsid w:val="00C2506C"/>
    <w:rsid w:val="00C250D7"/>
    <w:rsid w:val="00C2533F"/>
    <w:rsid w:val="00C25397"/>
    <w:rsid w:val="00C2567A"/>
    <w:rsid w:val="00C2580D"/>
    <w:rsid w:val="00C25811"/>
    <w:rsid w:val="00C25884"/>
    <w:rsid w:val="00C2593D"/>
    <w:rsid w:val="00C259A0"/>
    <w:rsid w:val="00C25C02"/>
    <w:rsid w:val="00C25DA9"/>
    <w:rsid w:val="00C25F66"/>
    <w:rsid w:val="00C26073"/>
    <w:rsid w:val="00C261CE"/>
    <w:rsid w:val="00C26217"/>
    <w:rsid w:val="00C265AF"/>
    <w:rsid w:val="00C26688"/>
    <w:rsid w:val="00C268AF"/>
    <w:rsid w:val="00C26C36"/>
    <w:rsid w:val="00C272F5"/>
    <w:rsid w:val="00C2768B"/>
    <w:rsid w:val="00C27AA3"/>
    <w:rsid w:val="00C27AD0"/>
    <w:rsid w:val="00C27BF5"/>
    <w:rsid w:val="00C27C34"/>
    <w:rsid w:val="00C27F70"/>
    <w:rsid w:val="00C300A7"/>
    <w:rsid w:val="00C30135"/>
    <w:rsid w:val="00C30218"/>
    <w:rsid w:val="00C3030C"/>
    <w:rsid w:val="00C304FA"/>
    <w:rsid w:val="00C30565"/>
    <w:rsid w:val="00C30588"/>
    <w:rsid w:val="00C3085D"/>
    <w:rsid w:val="00C30909"/>
    <w:rsid w:val="00C30CA3"/>
    <w:rsid w:val="00C30DA3"/>
    <w:rsid w:val="00C30EF8"/>
    <w:rsid w:val="00C30F0F"/>
    <w:rsid w:val="00C30FF4"/>
    <w:rsid w:val="00C31172"/>
    <w:rsid w:val="00C31423"/>
    <w:rsid w:val="00C314AB"/>
    <w:rsid w:val="00C315BC"/>
    <w:rsid w:val="00C317DD"/>
    <w:rsid w:val="00C3197E"/>
    <w:rsid w:val="00C31A68"/>
    <w:rsid w:val="00C31B2A"/>
    <w:rsid w:val="00C31E47"/>
    <w:rsid w:val="00C32093"/>
    <w:rsid w:val="00C320C6"/>
    <w:rsid w:val="00C32173"/>
    <w:rsid w:val="00C325D0"/>
    <w:rsid w:val="00C32630"/>
    <w:rsid w:val="00C3271C"/>
    <w:rsid w:val="00C3271F"/>
    <w:rsid w:val="00C32960"/>
    <w:rsid w:val="00C329D2"/>
    <w:rsid w:val="00C32B54"/>
    <w:rsid w:val="00C32BC8"/>
    <w:rsid w:val="00C32C04"/>
    <w:rsid w:val="00C32C53"/>
    <w:rsid w:val="00C32D2F"/>
    <w:rsid w:val="00C32F90"/>
    <w:rsid w:val="00C33093"/>
    <w:rsid w:val="00C33107"/>
    <w:rsid w:val="00C333B1"/>
    <w:rsid w:val="00C33487"/>
    <w:rsid w:val="00C33653"/>
    <w:rsid w:val="00C336A6"/>
    <w:rsid w:val="00C336E8"/>
    <w:rsid w:val="00C33782"/>
    <w:rsid w:val="00C337F2"/>
    <w:rsid w:val="00C33A85"/>
    <w:rsid w:val="00C33C19"/>
    <w:rsid w:val="00C33D58"/>
    <w:rsid w:val="00C33E5C"/>
    <w:rsid w:val="00C3409F"/>
    <w:rsid w:val="00C3423B"/>
    <w:rsid w:val="00C343DC"/>
    <w:rsid w:val="00C34770"/>
    <w:rsid w:val="00C3497E"/>
    <w:rsid w:val="00C34A6E"/>
    <w:rsid w:val="00C34A87"/>
    <w:rsid w:val="00C34ACD"/>
    <w:rsid w:val="00C34B68"/>
    <w:rsid w:val="00C34C47"/>
    <w:rsid w:val="00C34E7D"/>
    <w:rsid w:val="00C34E8B"/>
    <w:rsid w:val="00C34EE1"/>
    <w:rsid w:val="00C35471"/>
    <w:rsid w:val="00C355D8"/>
    <w:rsid w:val="00C35723"/>
    <w:rsid w:val="00C359C1"/>
    <w:rsid w:val="00C35B17"/>
    <w:rsid w:val="00C35C0D"/>
    <w:rsid w:val="00C35C51"/>
    <w:rsid w:val="00C35D14"/>
    <w:rsid w:val="00C35E33"/>
    <w:rsid w:val="00C360C7"/>
    <w:rsid w:val="00C3642B"/>
    <w:rsid w:val="00C36482"/>
    <w:rsid w:val="00C36493"/>
    <w:rsid w:val="00C367E0"/>
    <w:rsid w:val="00C3695A"/>
    <w:rsid w:val="00C36BBB"/>
    <w:rsid w:val="00C36D24"/>
    <w:rsid w:val="00C36D37"/>
    <w:rsid w:val="00C36D6F"/>
    <w:rsid w:val="00C36ECB"/>
    <w:rsid w:val="00C370F5"/>
    <w:rsid w:val="00C374AF"/>
    <w:rsid w:val="00C374BC"/>
    <w:rsid w:val="00C375AD"/>
    <w:rsid w:val="00C37623"/>
    <w:rsid w:val="00C37641"/>
    <w:rsid w:val="00C3786A"/>
    <w:rsid w:val="00C37903"/>
    <w:rsid w:val="00C37907"/>
    <w:rsid w:val="00C3793F"/>
    <w:rsid w:val="00C37A09"/>
    <w:rsid w:val="00C37A2A"/>
    <w:rsid w:val="00C37DF2"/>
    <w:rsid w:val="00C37EE2"/>
    <w:rsid w:val="00C4015F"/>
    <w:rsid w:val="00C40377"/>
    <w:rsid w:val="00C4042B"/>
    <w:rsid w:val="00C40489"/>
    <w:rsid w:val="00C40663"/>
    <w:rsid w:val="00C4091F"/>
    <w:rsid w:val="00C4093A"/>
    <w:rsid w:val="00C4094A"/>
    <w:rsid w:val="00C40C06"/>
    <w:rsid w:val="00C40C0A"/>
    <w:rsid w:val="00C40C89"/>
    <w:rsid w:val="00C40F19"/>
    <w:rsid w:val="00C410D6"/>
    <w:rsid w:val="00C41228"/>
    <w:rsid w:val="00C413DF"/>
    <w:rsid w:val="00C41591"/>
    <w:rsid w:val="00C419A1"/>
    <w:rsid w:val="00C41B79"/>
    <w:rsid w:val="00C41DA5"/>
    <w:rsid w:val="00C41ECB"/>
    <w:rsid w:val="00C4242A"/>
    <w:rsid w:val="00C4242D"/>
    <w:rsid w:val="00C42440"/>
    <w:rsid w:val="00C4249C"/>
    <w:rsid w:val="00C428CC"/>
    <w:rsid w:val="00C42906"/>
    <w:rsid w:val="00C4292D"/>
    <w:rsid w:val="00C4299B"/>
    <w:rsid w:val="00C42B0F"/>
    <w:rsid w:val="00C42D6A"/>
    <w:rsid w:val="00C432D3"/>
    <w:rsid w:val="00C433EF"/>
    <w:rsid w:val="00C43497"/>
    <w:rsid w:val="00C434D4"/>
    <w:rsid w:val="00C43615"/>
    <w:rsid w:val="00C43655"/>
    <w:rsid w:val="00C436E7"/>
    <w:rsid w:val="00C43782"/>
    <w:rsid w:val="00C438EB"/>
    <w:rsid w:val="00C43944"/>
    <w:rsid w:val="00C43BAA"/>
    <w:rsid w:val="00C43BB6"/>
    <w:rsid w:val="00C44219"/>
    <w:rsid w:val="00C44222"/>
    <w:rsid w:val="00C443CE"/>
    <w:rsid w:val="00C44474"/>
    <w:rsid w:val="00C44AB5"/>
    <w:rsid w:val="00C44B0C"/>
    <w:rsid w:val="00C45196"/>
    <w:rsid w:val="00C45277"/>
    <w:rsid w:val="00C4533B"/>
    <w:rsid w:val="00C45405"/>
    <w:rsid w:val="00C45456"/>
    <w:rsid w:val="00C454B4"/>
    <w:rsid w:val="00C45775"/>
    <w:rsid w:val="00C45790"/>
    <w:rsid w:val="00C457FB"/>
    <w:rsid w:val="00C458DD"/>
    <w:rsid w:val="00C458F7"/>
    <w:rsid w:val="00C45CED"/>
    <w:rsid w:val="00C45EF4"/>
    <w:rsid w:val="00C46300"/>
    <w:rsid w:val="00C46317"/>
    <w:rsid w:val="00C46345"/>
    <w:rsid w:val="00C46501"/>
    <w:rsid w:val="00C466EB"/>
    <w:rsid w:val="00C4692F"/>
    <w:rsid w:val="00C46CE7"/>
    <w:rsid w:val="00C46DE0"/>
    <w:rsid w:val="00C47104"/>
    <w:rsid w:val="00C47194"/>
    <w:rsid w:val="00C472A6"/>
    <w:rsid w:val="00C47402"/>
    <w:rsid w:val="00C474BE"/>
    <w:rsid w:val="00C4752A"/>
    <w:rsid w:val="00C476B9"/>
    <w:rsid w:val="00C476F2"/>
    <w:rsid w:val="00C4777B"/>
    <w:rsid w:val="00C47802"/>
    <w:rsid w:val="00C479B5"/>
    <w:rsid w:val="00C47A0F"/>
    <w:rsid w:val="00C47A1D"/>
    <w:rsid w:val="00C47B9F"/>
    <w:rsid w:val="00C47BB3"/>
    <w:rsid w:val="00C47DD3"/>
    <w:rsid w:val="00C47DE4"/>
    <w:rsid w:val="00C47F98"/>
    <w:rsid w:val="00C5021C"/>
    <w:rsid w:val="00C50330"/>
    <w:rsid w:val="00C503BA"/>
    <w:rsid w:val="00C507CB"/>
    <w:rsid w:val="00C508E4"/>
    <w:rsid w:val="00C50977"/>
    <w:rsid w:val="00C50C1A"/>
    <w:rsid w:val="00C50DA1"/>
    <w:rsid w:val="00C51005"/>
    <w:rsid w:val="00C51093"/>
    <w:rsid w:val="00C5147A"/>
    <w:rsid w:val="00C515A0"/>
    <w:rsid w:val="00C515D7"/>
    <w:rsid w:val="00C51926"/>
    <w:rsid w:val="00C51961"/>
    <w:rsid w:val="00C51C5E"/>
    <w:rsid w:val="00C51EC0"/>
    <w:rsid w:val="00C51F40"/>
    <w:rsid w:val="00C520E4"/>
    <w:rsid w:val="00C52133"/>
    <w:rsid w:val="00C521D2"/>
    <w:rsid w:val="00C52256"/>
    <w:rsid w:val="00C52477"/>
    <w:rsid w:val="00C524AC"/>
    <w:rsid w:val="00C52564"/>
    <w:rsid w:val="00C52787"/>
    <w:rsid w:val="00C5278E"/>
    <w:rsid w:val="00C5279B"/>
    <w:rsid w:val="00C527A8"/>
    <w:rsid w:val="00C52989"/>
    <w:rsid w:val="00C52B29"/>
    <w:rsid w:val="00C52C29"/>
    <w:rsid w:val="00C52C48"/>
    <w:rsid w:val="00C52EE8"/>
    <w:rsid w:val="00C52F06"/>
    <w:rsid w:val="00C53005"/>
    <w:rsid w:val="00C530CC"/>
    <w:rsid w:val="00C53232"/>
    <w:rsid w:val="00C53252"/>
    <w:rsid w:val="00C5330B"/>
    <w:rsid w:val="00C534CF"/>
    <w:rsid w:val="00C534E6"/>
    <w:rsid w:val="00C53554"/>
    <w:rsid w:val="00C535BC"/>
    <w:rsid w:val="00C53654"/>
    <w:rsid w:val="00C536C5"/>
    <w:rsid w:val="00C53773"/>
    <w:rsid w:val="00C53A59"/>
    <w:rsid w:val="00C53D8C"/>
    <w:rsid w:val="00C53E44"/>
    <w:rsid w:val="00C53EFF"/>
    <w:rsid w:val="00C540E7"/>
    <w:rsid w:val="00C541C6"/>
    <w:rsid w:val="00C542B5"/>
    <w:rsid w:val="00C5455F"/>
    <w:rsid w:val="00C546C4"/>
    <w:rsid w:val="00C546F5"/>
    <w:rsid w:val="00C547D1"/>
    <w:rsid w:val="00C54865"/>
    <w:rsid w:val="00C548C9"/>
    <w:rsid w:val="00C5493F"/>
    <w:rsid w:val="00C549D7"/>
    <w:rsid w:val="00C54C9E"/>
    <w:rsid w:val="00C54D56"/>
    <w:rsid w:val="00C55021"/>
    <w:rsid w:val="00C55060"/>
    <w:rsid w:val="00C5517E"/>
    <w:rsid w:val="00C55270"/>
    <w:rsid w:val="00C55412"/>
    <w:rsid w:val="00C55500"/>
    <w:rsid w:val="00C5550D"/>
    <w:rsid w:val="00C55839"/>
    <w:rsid w:val="00C55885"/>
    <w:rsid w:val="00C5589A"/>
    <w:rsid w:val="00C558BE"/>
    <w:rsid w:val="00C55C8C"/>
    <w:rsid w:val="00C56340"/>
    <w:rsid w:val="00C56C73"/>
    <w:rsid w:val="00C56D85"/>
    <w:rsid w:val="00C56DEC"/>
    <w:rsid w:val="00C56E23"/>
    <w:rsid w:val="00C56FAB"/>
    <w:rsid w:val="00C56FC9"/>
    <w:rsid w:val="00C56FFB"/>
    <w:rsid w:val="00C57030"/>
    <w:rsid w:val="00C57062"/>
    <w:rsid w:val="00C5709F"/>
    <w:rsid w:val="00C5739C"/>
    <w:rsid w:val="00C57526"/>
    <w:rsid w:val="00C577BC"/>
    <w:rsid w:val="00C57A53"/>
    <w:rsid w:val="00C57AA1"/>
    <w:rsid w:val="00C57B78"/>
    <w:rsid w:val="00C57EE0"/>
    <w:rsid w:val="00C57EE5"/>
    <w:rsid w:val="00C6006A"/>
    <w:rsid w:val="00C600D2"/>
    <w:rsid w:val="00C6023A"/>
    <w:rsid w:val="00C60408"/>
    <w:rsid w:val="00C6041D"/>
    <w:rsid w:val="00C60520"/>
    <w:rsid w:val="00C6057E"/>
    <w:rsid w:val="00C60778"/>
    <w:rsid w:val="00C60779"/>
    <w:rsid w:val="00C60807"/>
    <w:rsid w:val="00C60849"/>
    <w:rsid w:val="00C60B2A"/>
    <w:rsid w:val="00C60CBE"/>
    <w:rsid w:val="00C60F38"/>
    <w:rsid w:val="00C60F96"/>
    <w:rsid w:val="00C6108D"/>
    <w:rsid w:val="00C613E0"/>
    <w:rsid w:val="00C61531"/>
    <w:rsid w:val="00C615CE"/>
    <w:rsid w:val="00C61CB1"/>
    <w:rsid w:val="00C61D5E"/>
    <w:rsid w:val="00C61EA6"/>
    <w:rsid w:val="00C621B3"/>
    <w:rsid w:val="00C62277"/>
    <w:rsid w:val="00C6230D"/>
    <w:rsid w:val="00C6287B"/>
    <w:rsid w:val="00C6296D"/>
    <w:rsid w:val="00C62B34"/>
    <w:rsid w:val="00C62C7D"/>
    <w:rsid w:val="00C62D21"/>
    <w:rsid w:val="00C62DFF"/>
    <w:rsid w:val="00C62EE8"/>
    <w:rsid w:val="00C631B0"/>
    <w:rsid w:val="00C632F2"/>
    <w:rsid w:val="00C63300"/>
    <w:rsid w:val="00C633AE"/>
    <w:rsid w:val="00C63502"/>
    <w:rsid w:val="00C63A0F"/>
    <w:rsid w:val="00C63AD9"/>
    <w:rsid w:val="00C63B7B"/>
    <w:rsid w:val="00C63DB7"/>
    <w:rsid w:val="00C63DCF"/>
    <w:rsid w:val="00C63E88"/>
    <w:rsid w:val="00C64039"/>
    <w:rsid w:val="00C642D3"/>
    <w:rsid w:val="00C6434A"/>
    <w:rsid w:val="00C645B2"/>
    <w:rsid w:val="00C646C4"/>
    <w:rsid w:val="00C646FB"/>
    <w:rsid w:val="00C647E0"/>
    <w:rsid w:val="00C647E9"/>
    <w:rsid w:val="00C6486E"/>
    <w:rsid w:val="00C648E7"/>
    <w:rsid w:val="00C64A14"/>
    <w:rsid w:val="00C64A69"/>
    <w:rsid w:val="00C64B65"/>
    <w:rsid w:val="00C64CCB"/>
    <w:rsid w:val="00C64E4E"/>
    <w:rsid w:val="00C6501B"/>
    <w:rsid w:val="00C650C6"/>
    <w:rsid w:val="00C651D8"/>
    <w:rsid w:val="00C6521F"/>
    <w:rsid w:val="00C654E7"/>
    <w:rsid w:val="00C657E1"/>
    <w:rsid w:val="00C65809"/>
    <w:rsid w:val="00C65A06"/>
    <w:rsid w:val="00C65B49"/>
    <w:rsid w:val="00C65BEB"/>
    <w:rsid w:val="00C65CB2"/>
    <w:rsid w:val="00C65DB7"/>
    <w:rsid w:val="00C660B2"/>
    <w:rsid w:val="00C660D0"/>
    <w:rsid w:val="00C660D3"/>
    <w:rsid w:val="00C661D1"/>
    <w:rsid w:val="00C66246"/>
    <w:rsid w:val="00C66449"/>
    <w:rsid w:val="00C66523"/>
    <w:rsid w:val="00C66B8E"/>
    <w:rsid w:val="00C66B95"/>
    <w:rsid w:val="00C66BB4"/>
    <w:rsid w:val="00C66C54"/>
    <w:rsid w:val="00C66D95"/>
    <w:rsid w:val="00C66FD3"/>
    <w:rsid w:val="00C671DD"/>
    <w:rsid w:val="00C67590"/>
    <w:rsid w:val="00C67916"/>
    <w:rsid w:val="00C67B82"/>
    <w:rsid w:val="00C67BDB"/>
    <w:rsid w:val="00C67C12"/>
    <w:rsid w:val="00C67CEB"/>
    <w:rsid w:val="00C67F2D"/>
    <w:rsid w:val="00C70062"/>
    <w:rsid w:val="00C7014A"/>
    <w:rsid w:val="00C70603"/>
    <w:rsid w:val="00C70728"/>
    <w:rsid w:val="00C70796"/>
    <w:rsid w:val="00C707FE"/>
    <w:rsid w:val="00C70884"/>
    <w:rsid w:val="00C70957"/>
    <w:rsid w:val="00C70BA5"/>
    <w:rsid w:val="00C70C4B"/>
    <w:rsid w:val="00C70D61"/>
    <w:rsid w:val="00C70DF0"/>
    <w:rsid w:val="00C70E2C"/>
    <w:rsid w:val="00C70E59"/>
    <w:rsid w:val="00C70F04"/>
    <w:rsid w:val="00C70F4F"/>
    <w:rsid w:val="00C70FB1"/>
    <w:rsid w:val="00C71033"/>
    <w:rsid w:val="00C7113D"/>
    <w:rsid w:val="00C711A9"/>
    <w:rsid w:val="00C713F3"/>
    <w:rsid w:val="00C716F0"/>
    <w:rsid w:val="00C718CF"/>
    <w:rsid w:val="00C71A7D"/>
    <w:rsid w:val="00C71ABA"/>
    <w:rsid w:val="00C71B95"/>
    <w:rsid w:val="00C71BCB"/>
    <w:rsid w:val="00C71BF1"/>
    <w:rsid w:val="00C71C37"/>
    <w:rsid w:val="00C721ED"/>
    <w:rsid w:val="00C721F5"/>
    <w:rsid w:val="00C722FD"/>
    <w:rsid w:val="00C72446"/>
    <w:rsid w:val="00C72D3E"/>
    <w:rsid w:val="00C7307B"/>
    <w:rsid w:val="00C730C5"/>
    <w:rsid w:val="00C731D0"/>
    <w:rsid w:val="00C73390"/>
    <w:rsid w:val="00C73540"/>
    <w:rsid w:val="00C7355A"/>
    <w:rsid w:val="00C7361A"/>
    <w:rsid w:val="00C7365D"/>
    <w:rsid w:val="00C73682"/>
    <w:rsid w:val="00C73690"/>
    <w:rsid w:val="00C7398D"/>
    <w:rsid w:val="00C739FA"/>
    <w:rsid w:val="00C73B93"/>
    <w:rsid w:val="00C73C26"/>
    <w:rsid w:val="00C73F62"/>
    <w:rsid w:val="00C740F7"/>
    <w:rsid w:val="00C741F0"/>
    <w:rsid w:val="00C74397"/>
    <w:rsid w:val="00C74742"/>
    <w:rsid w:val="00C7482B"/>
    <w:rsid w:val="00C7492A"/>
    <w:rsid w:val="00C749E0"/>
    <w:rsid w:val="00C74A0F"/>
    <w:rsid w:val="00C74B75"/>
    <w:rsid w:val="00C74D8D"/>
    <w:rsid w:val="00C75087"/>
    <w:rsid w:val="00C750AB"/>
    <w:rsid w:val="00C75136"/>
    <w:rsid w:val="00C751AF"/>
    <w:rsid w:val="00C753A6"/>
    <w:rsid w:val="00C75426"/>
    <w:rsid w:val="00C75489"/>
    <w:rsid w:val="00C75526"/>
    <w:rsid w:val="00C7559B"/>
    <w:rsid w:val="00C757EB"/>
    <w:rsid w:val="00C7586D"/>
    <w:rsid w:val="00C758C2"/>
    <w:rsid w:val="00C7599F"/>
    <w:rsid w:val="00C75A37"/>
    <w:rsid w:val="00C75AEE"/>
    <w:rsid w:val="00C75AFD"/>
    <w:rsid w:val="00C75C03"/>
    <w:rsid w:val="00C75F17"/>
    <w:rsid w:val="00C76160"/>
    <w:rsid w:val="00C7617A"/>
    <w:rsid w:val="00C76323"/>
    <w:rsid w:val="00C76346"/>
    <w:rsid w:val="00C76416"/>
    <w:rsid w:val="00C76421"/>
    <w:rsid w:val="00C764C7"/>
    <w:rsid w:val="00C764CC"/>
    <w:rsid w:val="00C765B5"/>
    <w:rsid w:val="00C76672"/>
    <w:rsid w:val="00C76718"/>
    <w:rsid w:val="00C76811"/>
    <w:rsid w:val="00C769C1"/>
    <w:rsid w:val="00C76B16"/>
    <w:rsid w:val="00C76B34"/>
    <w:rsid w:val="00C76B4E"/>
    <w:rsid w:val="00C76E5E"/>
    <w:rsid w:val="00C76EC7"/>
    <w:rsid w:val="00C76F35"/>
    <w:rsid w:val="00C771BE"/>
    <w:rsid w:val="00C77259"/>
    <w:rsid w:val="00C7748E"/>
    <w:rsid w:val="00C77827"/>
    <w:rsid w:val="00C77963"/>
    <w:rsid w:val="00C77B22"/>
    <w:rsid w:val="00C77C14"/>
    <w:rsid w:val="00C77D7B"/>
    <w:rsid w:val="00C77FFA"/>
    <w:rsid w:val="00C801E9"/>
    <w:rsid w:val="00C802F4"/>
    <w:rsid w:val="00C805F5"/>
    <w:rsid w:val="00C807D3"/>
    <w:rsid w:val="00C80925"/>
    <w:rsid w:val="00C809B8"/>
    <w:rsid w:val="00C80A96"/>
    <w:rsid w:val="00C80AA0"/>
    <w:rsid w:val="00C80BAE"/>
    <w:rsid w:val="00C80EC4"/>
    <w:rsid w:val="00C80ED2"/>
    <w:rsid w:val="00C80ED3"/>
    <w:rsid w:val="00C810AA"/>
    <w:rsid w:val="00C811E2"/>
    <w:rsid w:val="00C81299"/>
    <w:rsid w:val="00C814D9"/>
    <w:rsid w:val="00C815FF"/>
    <w:rsid w:val="00C8170D"/>
    <w:rsid w:val="00C819E9"/>
    <w:rsid w:val="00C81B34"/>
    <w:rsid w:val="00C81E58"/>
    <w:rsid w:val="00C81E9A"/>
    <w:rsid w:val="00C8212F"/>
    <w:rsid w:val="00C8217D"/>
    <w:rsid w:val="00C821E3"/>
    <w:rsid w:val="00C822EC"/>
    <w:rsid w:val="00C8230C"/>
    <w:rsid w:val="00C82500"/>
    <w:rsid w:val="00C8259E"/>
    <w:rsid w:val="00C8269D"/>
    <w:rsid w:val="00C826B8"/>
    <w:rsid w:val="00C82704"/>
    <w:rsid w:val="00C82924"/>
    <w:rsid w:val="00C82958"/>
    <w:rsid w:val="00C82B0F"/>
    <w:rsid w:val="00C82C67"/>
    <w:rsid w:val="00C82EC3"/>
    <w:rsid w:val="00C82EFA"/>
    <w:rsid w:val="00C82F50"/>
    <w:rsid w:val="00C82F63"/>
    <w:rsid w:val="00C83058"/>
    <w:rsid w:val="00C8324E"/>
    <w:rsid w:val="00C833C9"/>
    <w:rsid w:val="00C833CB"/>
    <w:rsid w:val="00C834D1"/>
    <w:rsid w:val="00C835A9"/>
    <w:rsid w:val="00C836C2"/>
    <w:rsid w:val="00C836D3"/>
    <w:rsid w:val="00C8375E"/>
    <w:rsid w:val="00C837C0"/>
    <w:rsid w:val="00C83818"/>
    <w:rsid w:val="00C838C0"/>
    <w:rsid w:val="00C83A8E"/>
    <w:rsid w:val="00C83A9B"/>
    <w:rsid w:val="00C83AAE"/>
    <w:rsid w:val="00C83EDB"/>
    <w:rsid w:val="00C83F2E"/>
    <w:rsid w:val="00C83FA0"/>
    <w:rsid w:val="00C8418D"/>
    <w:rsid w:val="00C8426E"/>
    <w:rsid w:val="00C8451D"/>
    <w:rsid w:val="00C8460B"/>
    <w:rsid w:val="00C8469B"/>
    <w:rsid w:val="00C84728"/>
    <w:rsid w:val="00C84955"/>
    <w:rsid w:val="00C849AF"/>
    <w:rsid w:val="00C84A3E"/>
    <w:rsid w:val="00C84AF9"/>
    <w:rsid w:val="00C84B57"/>
    <w:rsid w:val="00C84B5B"/>
    <w:rsid w:val="00C84F26"/>
    <w:rsid w:val="00C84F31"/>
    <w:rsid w:val="00C85017"/>
    <w:rsid w:val="00C850CC"/>
    <w:rsid w:val="00C852AD"/>
    <w:rsid w:val="00C85515"/>
    <w:rsid w:val="00C85575"/>
    <w:rsid w:val="00C855D7"/>
    <w:rsid w:val="00C85643"/>
    <w:rsid w:val="00C8585C"/>
    <w:rsid w:val="00C85A59"/>
    <w:rsid w:val="00C85B02"/>
    <w:rsid w:val="00C85C16"/>
    <w:rsid w:val="00C85F6C"/>
    <w:rsid w:val="00C86042"/>
    <w:rsid w:val="00C86107"/>
    <w:rsid w:val="00C8661D"/>
    <w:rsid w:val="00C86690"/>
    <w:rsid w:val="00C8673C"/>
    <w:rsid w:val="00C867E4"/>
    <w:rsid w:val="00C8687D"/>
    <w:rsid w:val="00C868C6"/>
    <w:rsid w:val="00C868E3"/>
    <w:rsid w:val="00C869E6"/>
    <w:rsid w:val="00C86B90"/>
    <w:rsid w:val="00C86C20"/>
    <w:rsid w:val="00C86E43"/>
    <w:rsid w:val="00C87199"/>
    <w:rsid w:val="00C871F8"/>
    <w:rsid w:val="00C8721B"/>
    <w:rsid w:val="00C872D7"/>
    <w:rsid w:val="00C8744B"/>
    <w:rsid w:val="00C87539"/>
    <w:rsid w:val="00C877AE"/>
    <w:rsid w:val="00C87805"/>
    <w:rsid w:val="00C87944"/>
    <w:rsid w:val="00C87D1C"/>
    <w:rsid w:val="00C87E4C"/>
    <w:rsid w:val="00C87F17"/>
    <w:rsid w:val="00C900C2"/>
    <w:rsid w:val="00C90264"/>
    <w:rsid w:val="00C9033B"/>
    <w:rsid w:val="00C903A6"/>
    <w:rsid w:val="00C904D4"/>
    <w:rsid w:val="00C90AAA"/>
    <w:rsid w:val="00C90BAB"/>
    <w:rsid w:val="00C90F12"/>
    <w:rsid w:val="00C90F74"/>
    <w:rsid w:val="00C90FBB"/>
    <w:rsid w:val="00C913DF"/>
    <w:rsid w:val="00C9150B"/>
    <w:rsid w:val="00C916E3"/>
    <w:rsid w:val="00C91712"/>
    <w:rsid w:val="00C91906"/>
    <w:rsid w:val="00C91970"/>
    <w:rsid w:val="00C919A4"/>
    <w:rsid w:val="00C91ABE"/>
    <w:rsid w:val="00C91C18"/>
    <w:rsid w:val="00C91C6F"/>
    <w:rsid w:val="00C91C81"/>
    <w:rsid w:val="00C91DF2"/>
    <w:rsid w:val="00C91F92"/>
    <w:rsid w:val="00C91FE9"/>
    <w:rsid w:val="00C9206B"/>
    <w:rsid w:val="00C9213B"/>
    <w:rsid w:val="00C921C5"/>
    <w:rsid w:val="00C9229B"/>
    <w:rsid w:val="00C923C9"/>
    <w:rsid w:val="00C92415"/>
    <w:rsid w:val="00C9274D"/>
    <w:rsid w:val="00C92842"/>
    <w:rsid w:val="00C929E0"/>
    <w:rsid w:val="00C92BCC"/>
    <w:rsid w:val="00C92C56"/>
    <w:rsid w:val="00C92CCA"/>
    <w:rsid w:val="00C9306D"/>
    <w:rsid w:val="00C93277"/>
    <w:rsid w:val="00C934CB"/>
    <w:rsid w:val="00C935A4"/>
    <w:rsid w:val="00C93650"/>
    <w:rsid w:val="00C93681"/>
    <w:rsid w:val="00C9373D"/>
    <w:rsid w:val="00C9381E"/>
    <w:rsid w:val="00C93AD7"/>
    <w:rsid w:val="00C93E06"/>
    <w:rsid w:val="00C93E1B"/>
    <w:rsid w:val="00C93F87"/>
    <w:rsid w:val="00C93F99"/>
    <w:rsid w:val="00C9430C"/>
    <w:rsid w:val="00C94561"/>
    <w:rsid w:val="00C945B2"/>
    <w:rsid w:val="00C94694"/>
    <w:rsid w:val="00C946F3"/>
    <w:rsid w:val="00C946F5"/>
    <w:rsid w:val="00C949B6"/>
    <w:rsid w:val="00C94ABF"/>
    <w:rsid w:val="00C94BB4"/>
    <w:rsid w:val="00C94CE5"/>
    <w:rsid w:val="00C94DEC"/>
    <w:rsid w:val="00C94E9F"/>
    <w:rsid w:val="00C94EA6"/>
    <w:rsid w:val="00C95004"/>
    <w:rsid w:val="00C950CB"/>
    <w:rsid w:val="00C951D9"/>
    <w:rsid w:val="00C95223"/>
    <w:rsid w:val="00C952D2"/>
    <w:rsid w:val="00C95787"/>
    <w:rsid w:val="00C957D3"/>
    <w:rsid w:val="00C95832"/>
    <w:rsid w:val="00C9586F"/>
    <w:rsid w:val="00C95931"/>
    <w:rsid w:val="00C959BE"/>
    <w:rsid w:val="00C95DCA"/>
    <w:rsid w:val="00C95DDF"/>
    <w:rsid w:val="00C95F0A"/>
    <w:rsid w:val="00C95F69"/>
    <w:rsid w:val="00C96304"/>
    <w:rsid w:val="00C96403"/>
    <w:rsid w:val="00C964A9"/>
    <w:rsid w:val="00C964B3"/>
    <w:rsid w:val="00C964C4"/>
    <w:rsid w:val="00C967A9"/>
    <w:rsid w:val="00C96808"/>
    <w:rsid w:val="00C968B2"/>
    <w:rsid w:val="00C969FD"/>
    <w:rsid w:val="00C96C88"/>
    <w:rsid w:val="00C96D4F"/>
    <w:rsid w:val="00C96EE2"/>
    <w:rsid w:val="00C96FF5"/>
    <w:rsid w:val="00C97241"/>
    <w:rsid w:val="00C97488"/>
    <w:rsid w:val="00C974CD"/>
    <w:rsid w:val="00C97632"/>
    <w:rsid w:val="00C9784E"/>
    <w:rsid w:val="00C9789A"/>
    <w:rsid w:val="00C97AB2"/>
    <w:rsid w:val="00C97BA3"/>
    <w:rsid w:val="00C97BCD"/>
    <w:rsid w:val="00C97D5C"/>
    <w:rsid w:val="00C97F77"/>
    <w:rsid w:val="00CA0089"/>
    <w:rsid w:val="00CA01BA"/>
    <w:rsid w:val="00CA0255"/>
    <w:rsid w:val="00CA0282"/>
    <w:rsid w:val="00CA02C2"/>
    <w:rsid w:val="00CA0301"/>
    <w:rsid w:val="00CA0655"/>
    <w:rsid w:val="00CA06F1"/>
    <w:rsid w:val="00CA0E1C"/>
    <w:rsid w:val="00CA0F6C"/>
    <w:rsid w:val="00CA104A"/>
    <w:rsid w:val="00CA1096"/>
    <w:rsid w:val="00CA11AE"/>
    <w:rsid w:val="00CA1442"/>
    <w:rsid w:val="00CA146D"/>
    <w:rsid w:val="00CA176E"/>
    <w:rsid w:val="00CA17FF"/>
    <w:rsid w:val="00CA187A"/>
    <w:rsid w:val="00CA1AAB"/>
    <w:rsid w:val="00CA1BB6"/>
    <w:rsid w:val="00CA1D74"/>
    <w:rsid w:val="00CA1DB0"/>
    <w:rsid w:val="00CA1F61"/>
    <w:rsid w:val="00CA2010"/>
    <w:rsid w:val="00CA2022"/>
    <w:rsid w:val="00CA20E7"/>
    <w:rsid w:val="00CA2396"/>
    <w:rsid w:val="00CA2403"/>
    <w:rsid w:val="00CA2428"/>
    <w:rsid w:val="00CA2605"/>
    <w:rsid w:val="00CA2607"/>
    <w:rsid w:val="00CA2A78"/>
    <w:rsid w:val="00CA2B75"/>
    <w:rsid w:val="00CA2F66"/>
    <w:rsid w:val="00CA3249"/>
    <w:rsid w:val="00CA3343"/>
    <w:rsid w:val="00CA36BC"/>
    <w:rsid w:val="00CA397E"/>
    <w:rsid w:val="00CA3B1D"/>
    <w:rsid w:val="00CA3B7C"/>
    <w:rsid w:val="00CA3BEA"/>
    <w:rsid w:val="00CA3CB7"/>
    <w:rsid w:val="00CA3D4F"/>
    <w:rsid w:val="00CA3EE7"/>
    <w:rsid w:val="00CA3EF5"/>
    <w:rsid w:val="00CA3FC1"/>
    <w:rsid w:val="00CA4169"/>
    <w:rsid w:val="00CA4236"/>
    <w:rsid w:val="00CA427B"/>
    <w:rsid w:val="00CA4288"/>
    <w:rsid w:val="00CA47A6"/>
    <w:rsid w:val="00CA4AD5"/>
    <w:rsid w:val="00CA4AEC"/>
    <w:rsid w:val="00CA4B1D"/>
    <w:rsid w:val="00CA4B46"/>
    <w:rsid w:val="00CA4B69"/>
    <w:rsid w:val="00CA4C47"/>
    <w:rsid w:val="00CA4EBC"/>
    <w:rsid w:val="00CA4F66"/>
    <w:rsid w:val="00CA5019"/>
    <w:rsid w:val="00CA506D"/>
    <w:rsid w:val="00CA50B2"/>
    <w:rsid w:val="00CA511F"/>
    <w:rsid w:val="00CA5135"/>
    <w:rsid w:val="00CA52A8"/>
    <w:rsid w:val="00CA53EA"/>
    <w:rsid w:val="00CA5520"/>
    <w:rsid w:val="00CA5675"/>
    <w:rsid w:val="00CA568C"/>
    <w:rsid w:val="00CA5736"/>
    <w:rsid w:val="00CA57F6"/>
    <w:rsid w:val="00CA593F"/>
    <w:rsid w:val="00CA5C38"/>
    <w:rsid w:val="00CA5ED6"/>
    <w:rsid w:val="00CA613C"/>
    <w:rsid w:val="00CA6290"/>
    <w:rsid w:val="00CA639A"/>
    <w:rsid w:val="00CA6503"/>
    <w:rsid w:val="00CA677A"/>
    <w:rsid w:val="00CA6856"/>
    <w:rsid w:val="00CA68CE"/>
    <w:rsid w:val="00CA69D1"/>
    <w:rsid w:val="00CA6AB1"/>
    <w:rsid w:val="00CA6EC8"/>
    <w:rsid w:val="00CA716B"/>
    <w:rsid w:val="00CA72FA"/>
    <w:rsid w:val="00CA7464"/>
    <w:rsid w:val="00CA7511"/>
    <w:rsid w:val="00CA7653"/>
    <w:rsid w:val="00CA7658"/>
    <w:rsid w:val="00CA7798"/>
    <w:rsid w:val="00CA77C5"/>
    <w:rsid w:val="00CA78C7"/>
    <w:rsid w:val="00CA7A7B"/>
    <w:rsid w:val="00CA7AB2"/>
    <w:rsid w:val="00CA7AEE"/>
    <w:rsid w:val="00CA7C59"/>
    <w:rsid w:val="00CA7C97"/>
    <w:rsid w:val="00CA7DAC"/>
    <w:rsid w:val="00CA7DC7"/>
    <w:rsid w:val="00CA7DC9"/>
    <w:rsid w:val="00CA7E3D"/>
    <w:rsid w:val="00CA7F2C"/>
    <w:rsid w:val="00CB01F9"/>
    <w:rsid w:val="00CB02AE"/>
    <w:rsid w:val="00CB0662"/>
    <w:rsid w:val="00CB0758"/>
    <w:rsid w:val="00CB08A2"/>
    <w:rsid w:val="00CB08E0"/>
    <w:rsid w:val="00CB09A3"/>
    <w:rsid w:val="00CB0A18"/>
    <w:rsid w:val="00CB0A40"/>
    <w:rsid w:val="00CB0B4E"/>
    <w:rsid w:val="00CB0B50"/>
    <w:rsid w:val="00CB0BBC"/>
    <w:rsid w:val="00CB0C63"/>
    <w:rsid w:val="00CB0CDF"/>
    <w:rsid w:val="00CB0CE8"/>
    <w:rsid w:val="00CB0D6C"/>
    <w:rsid w:val="00CB0FCD"/>
    <w:rsid w:val="00CB1181"/>
    <w:rsid w:val="00CB11A8"/>
    <w:rsid w:val="00CB12C5"/>
    <w:rsid w:val="00CB136F"/>
    <w:rsid w:val="00CB13EA"/>
    <w:rsid w:val="00CB14BB"/>
    <w:rsid w:val="00CB15D4"/>
    <w:rsid w:val="00CB1685"/>
    <w:rsid w:val="00CB1999"/>
    <w:rsid w:val="00CB1BFD"/>
    <w:rsid w:val="00CB1D02"/>
    <w:rsid w:val="00CB1D10"/>
    <w:rsid w:val="00CB20D6"/>
    <w:rsid w:val="00CB215F"/>
    <w:rsid w:val="00CB221E"/>
    <w:rsid w:val="00CB2446"/>
    <w:rsid w:val="00CB24EC"/>
    <w:rsid w:val="00CB2561"/>
    <w:rsid w:val="00CB25FD"/>
    <w:rsid w:val="00CB280D"/>
    <w:rsid w:val="00CB29D8"/>
    <w:rsid w:val="00CB2DD9"/>
    <w:rsid w:val="00CB2E36"/>
    <w:rsid w:val="00CB3043"/>
    <w:rsid w:val="00CB30D4"/>
    <w:rsid w:val="00CB31BE"/>
    <w:rsid w:val="00CB31F4"/>
    <w:rsid w:val="00CB3462"/>
    <w:rsid w:val="00CB3531"/>
    <w:rsid w:val="00CB3539"/>
    <w:rsid w:val="00CB358C"/>
    <w:rsid w:val="00CB35E9"/>
    <w:rsid w:val="00CB390E"/>
    <w:rsid w:val="00CB3AF2"/>
    <w:rsid w:val="00CB3BBE"/>
    <w:rsid w:val="00CB3DA9"/>
    <w:rsid w:val="00CB3E82"/>
    <w:rsid w:val="00CB3F3F"/>
    <w:rsid w:val="00CB4167"/>
    <w:rsid w:val="00CB43BC"/>
    <w:rsid w:val="00CB4799"/>
    <w:rsid w:val="00CB4878"/>
    <w:rsid w:val="00CB4A8A"/>
    <w:rsid w:val="00CB4AED"/>
    <w:rsid w:val="00CB4C1F"/>
    <w:rsid w:val="00CB4CC3"/>
    <w:rsid w:val="00CB4F01"/>
    <w:rsid w:val="00CB4F5B"/>
    <w:rsid w:val="00CB506A"/>
    <w:rsid w:val="00CB52CD"/>
    <w:rsid w:val="00CB586A"/>
    <w:rsid w:val="00CB58EA"/>
    <w:rsid w:val="00CB592A"/>
    <w:rsid w:val="00CB5989"/>
    <w:rsid w:val="00CB5ACD"/>
    <w:rsid w:val="00CB5E93"/>
    <w:rsid w:val="00CB5F93"/>
    <w:rsid w:val="00CB5FB8"/>
    <w:rsid w:val="00CB6136"/>
    <w:rsid w:val="00CB6278"/>
    <w:rsid w:val="00CB654C"/>
    <w:rsid w:val="00CB654D"/>
    <w:rsid w:val="00CB658F"/>
    <w:rsid w:val="00CB678A"/>
    <w:rsid w:val="00CB6A1B"/>
    <w:rsid w:val="00CB6FEA"/>
    <w:rsid w:val="00CB7301"/>
    <w:rsid w:val="00CB73B1"/>
    <w:rsid w:val="00CB765F"/>
    <w:rsid w:val="00CB7C6C"/>
    <w:rsid w:val="00CB7D01"/>
    <w:rsid w:val="00CC0138"/>
    <w:rsid w:val="00CC02F2"/>
    <w:rsid w:val="00CC039F"/>
    <w:rsid w:val="00CC04D9"/>
    <w:rsid w:val="00CC05DD"/>
    <w:rsid w:val="00CC077C"/>
    <w:rsid w:val="00CC0787"/>
    <w:rsid w:val="00CC07D6"/>
    <w:rsid w:val="00CC096F"/>
    <w:rsid w:val="00CC09F0"/>
    <w:rsid w:val="00CC0A77"/>
    <w:rsid w:val="00CC0B2B"/>
    <w:rsid w:val="00CC0B86"/>
    <w:rsid w:val="00CC0C3C"/>
    <w:rsid w:val="00CC0C75"/>
    <w:rsid w:val="00CC0DDA"/>
    <w:rsid w:val="00CC0EB2"/>
    <w:rsid w:val="00CC0ECD"/>
    <w:rsid w:val="00CC101D"/>
    <w:rsid w:val="00CC1260"/>
    <w:rsid w:val="00CC126E"/>
    <w:rsid w:val="00CC1569"/>
    <w:rsid w:val="00CC1589"/>
    <w:rsid w:val="00CC15B0"/>
    <w:rsid w:val="00CC1685"/>
    <w:rsid w:val="00CC17AA"/>
    <w:rsid w:val="00CC1956"/>
    <w:rsid w:val="00CC1BD3"/>
    <w:rsid w:val="00CC1C28"/>
    <w:rsid w:val="00CC1C41"/>
    <w:rsid w:val="00CC1D78"/>
    <w:rsid w:val="00CC1DD3"/>
    <w:rsid w:val="00CC1F50"/>
    <w:rsid w:val="00CC20CF"/>
    <w:rsid w:val="00CC22C3"/>
    <w:rsid w:val="00CC2386"/>
    <w:rsid w:val="00CC248B"/>
    <w:rsid w:val="00CC2593"/>
    <w:rsid w:val="00CC264A"/>
    <w:rsid w:val="00CC264F"/>
    <w:rsid w:val="00CC288E"/>
    <w:rsid w:val="00CC2CF4"/>
    <w:rsid w:val="00CC2D52"/>
    <w:rsid w:val="00CC2EA5"/>
    <w:rsid w:val="00CC31D5"/>
    <w:rsid w:val="00CC3464"/>
    <w:rsid w:val="00CC348F"/>
    <w:rsid w:val="00CC35A0"/>
    <w:rsid w:val="00CC35A3"/>
    <w:rsid w:val="00CC3874"/>
    <w:rsid w:val="00CC39BA"/>
    <w:rsid w:val="00CC3C9D"/>
    <w:rsid w:val="00CC3CA7"/>
    <w:rsid w:val="00CC3D3C"/>
    <w:rsid w:val="00CC3DFC"/>
    <w:rsid w:val="00CC3E31"/>
    <w:rsid w:val="00CC4087"/>
    <w:rsid w:val="00CC4095"/>
    <w:rsid w:val="00CC41A1"/>
    <w:rsid w:val="00CC4576"/>
    <w:rsid w:val="00CC471A"/>
    <w:rsid w:val="00CC47B8"/>
    <w:rsid w:val="00CC4885"/>
    <w:rsid w:val="00CC4971"/>
    <w:rsid w:val="00CC4B1C"/>
    <w:rsid w:val="00CC4C5C"/>
    <w:rsid w:val="00CC4E34"/>
    <w:rsid w:val="00CC4EB4"/>
    <w:rsid w:val="00CC4EC8"/>
    <w:rsid w:val="00CC4F04"/>
    <w:rsid w:val="00CC4F86"/>
    <w:rsid w:val="00CC5310"/>
    <w:rsid w:val="00CC5411"/>
    <w:rsid w:val="00CC5418"/>
    <w:rsid w:val="00CC5679"/>
    <w:rsid w:val="00CC593A"/>
    <w:rsid w:val="00CC59A2"/>
    <w:rsid w:val="00CC5A84"/>
    <w:rsid w:val="00CC5C08"/>
    <w:rsid w:val="00CC5C53"/>
    <w:rsid w:val="00CC6028"/>
    <w:rsid w:val="00CC61D4"/>
    <w:rsid w:val="00CC625A"/>
    <w:rsid w:val="00CC64CE"/>
    <w:rsid w:val="00CC6624"/>
    <w:rsid w:val="00CC66F5"/>
    <w:rsid w:val="00CC67AF"/>
    <w:rsid w:val="00CC6A4E"/>
    <w:rsid w:val="00CC6C66"/>
    <w:rsid w:val="00CC6CA4"/>
    <w:rsid w:val="00CC6D89"/>
    <w:rsid w:val="00CC6FE8"/>
    <w:rsid w:val="00CC70F4"/>
    <w:rsid w:val="00CC7240"/>
    <w:rsid w:val="00CC7389"/>
    <w:rsid w:val="00CC7420"/>
    <w:rsid w:val="00CC7637"/>
    <w:rsid w:val="00CC774C"/>
    <w:rsid w:val="00CC77CA"/>
    <w:rsid w:val="00CC7852"/>
    <w:rsid w:val="00CC7877"/>
    <w:rsid w:val="00CC7965"/>
    <w:rsid w:val="00CC7971"/>
    <w:rsid w:val="00CC79FC"/>
    <w:rsid w:val="00CC7BE8"/>
    <w:rsid w:val="00CC7C48"/>
    <w:rsid w:val="00CC7DC2"/>
    <w:rsid w:val="00CC7F7A"/>
    <w:rsid w:val="00CD002B"/>
    <w:rsid w:val="00CD030A"/>
    <w:rsid w:val="00CD047E"/>
    <w:rsid w:val="00CD0593"/>
    <w:rsid w:val="00CD0B6D"/>
    <w:rsid w:val="00CD0BE6"/>
    <w:rsid w:val="00CD0C21"/>
    <w:rsid w:val="00CD0E2F"/>
    <w:rsid w:val="00CD117E"/>
    <w:rsid w:val="00CD11B1"/>
    <w:rsid w:val="00CD12E3"/>
    <w:rsid w:val="00CD131E"/>
    <w:rsid w:val="00CD13D7"/>
    <w:rsid w:val="00CD13E4"/>
    <w:rsid w:val="00CD159C"/>
    <w:rsid w:val="00CD175B"/>
    <w:rsid w:val="00CD1ABF"/>
    <w:rsid w:val="00CD1B74"/>
    <w:rsid w:val="00CD1CB5"/>
    <w:rsid w:val="00CD1D11"/>
    <w:rsid w:val="00CD1D75"/>
    <w:rsid w:val="00CD1DEE"/>
    <w:rsid w:val="00CD2118"/>
    <w:rsid w:val="00CD2593"/>
    <w:rsid w:val="00CD25AE"/>
    <w:rsid w:val="00CD2755"/>
    <w:rsid w:val="00CD2928"/>
    <w:rsid w:val="00CD2BCD"/>
    <w:rsid w:val="00CD2E61"/>
    <w:rsid w:val="00CD2F42"/>
    <w:rsid w:val="00CD3403"/>
    <w:rsid w:val="00CD352B"/>
    <w:rsid w:val="00CD36AD"/>
    <w:rsid w:val="00CD36F3"/>
    <w:rsid w:val="00CD37DB"/>
    <w:rsid w:val="00CD3989"/>
    <w:rsid w:val="00CD39FD"/>
    <w:rsid w:val="00CD3AC3"/>
    <w:rsid w:val="00CD3E01"/>
    <w:rsid w:val="00CD3E8A"/>
    <w:rsid w:val="00CD3EDC"/>
    <w:rsid w:val="00CD3F28"/>
    <w:rsid w:val="00CD4055"/>
    <w:rsid w:val="00CD40AB"/>
    <w:rsid w:val="00CD4752"/>
    <w:rsid w:val="00CD4763"/>
    <w:rsid w:val="00CD4D38"/>
    <w:rsid w:val="00CD4D3F"/>
    <w:rsid w:val="00CD4F0C"/>
    <w:rsid w:val="00CD50B1"/>
    <w:rsid w:val="00CD5569"/>
    <w:rsid w:val="00CD556A"/>
    <w:rsid w:val="00CD5655"/>
    <w:rsid w:val="00CD5889"/>
    <w:rsid w:val="00CD58BB"/>
    <w:rsid w:val="00CD5B05"/>
    <w:rsid w:val="00CD5D84"/>
    <w:rsid w:val="00CD5D9F"/>
    <w:rsid w:val="00CD5ED7"/>
    <w:rsid w:val="00CD5FA2"/>
    <w:rsid w:val="00CD5FD5"/>
    <w:rsid w:val="00CD6036"/>
    <w:rsid w:val="00CD60B2"/>
    <w:rsid w:val="00CD60BD"/>
    <w:rsid w:val="00CD656E"/>
    <w:rsid w:val="00CD656F"/>
    <w:rsid w:val="00CD661B"/>
    <w:rsid w:val="00CD66A5"/>
    <w:rsid w:val="00CD6A87"/>
    <w:rsid w:val="00CD6C51"/>
    <w:rsid w:val="00CD7013"/>
    <w:rsid w:val="00CD710A"/>
    <w:rsid w:val="00CD727A"/>
    <w:rsid w:val="00CD72DD"/>
    <w:rsid w:val="00CD737C"/>
    <w:rsid w:val="00CD73EA"/>
    <w:rsid w:val="00CD74E8"/>
    <w:rsid w:val="00CD7739"/>
    <w:rsid w:val="00CD78D4"/>
    <w:rsid w:val="00CD7909"/>
    <w:rsid w:val="00CD7E1C"/>
    <w:rsid w:val="00CD7F58"/>
    <w:rsid w:val="00CD7FCA"/>
    <w:rsid w:val="00CE007F"/>
    <w:rsid w:val="00CE015C"/>
    <w:rsid w:val="00CE054C"/>
    <w:rsid w:val="00CE054F"/>
    <w:rsid w:val="00CE0558"/>
    <w:rsid w:val="00CE0738"/>
    <w:rsid w:val="00CE0860"/>
    <w:rsid w:val="00CE08D3"/>
    <w:rsid w:val="00CE0998"/>
    <w:rsid w:val="00CE0A87"/>
    <w:rsid w:val="00CE0CDC"/>
    <w:rsid w:val="00CE0CDD"/>
    <w:rsid w:val="00CE0D6E"/>
    <w:rsid w:val="00CE1188"/>
    <w:rsid w:val="00CE12ED"/>
    <w:rsid w:val="00CE1543"/>
    <w:rsid w:val="00CE1B42"/>
    <w:rsid w:val="00CE1DA4"/>
    <w:rsid w:val="00CE21E0"/>
    <w:rsid w:val="00CE2308"/>
    <w:rsid w:val="00CE2321"/>
    <w:rsid w:val="00CE2579"/>
    <w:rsid w:val="00CE2606"/>
    <w:rsid w:val="00CE2628"/>
    <w:rsid w:val="00CE268A"/>
    <w:rsid w:val="00CE28D1"/>
    <w:rsid w:val="00CE2A33"/>
    <w:rsid w:val="00CE2C16"/>
    <w:rsid w:val="00CE2D9B"/>
    <w:rsid w:val="00CE2DC8"/>
    <w:rsid w:val="00CE2F3C"/>
    <w:rsid w:val="00CE2F5C"/>
    <w:rsid w:val="00CE317A"/>
    <w:rsid w:val="00CE373F"/>
    <w:rsid w:val="00CE384F"/>
    <w:rsid w:val="00CE38CC"/>
    <w:rsid w:val="00CE3A60"/>
    <w:rsid w:val="00CE3DB8"/>
    <w:rsid w:val="00CE3E70"/>
    <w:rsid w:val="00CE3FC4"/>
    <w:rsid w:val="00CE401F"/>
    <w:rsid w:val="00CE40FB"/>
    <w:rsid w:val="00CE413F"/>
    <w:rsid w:val="00CE4186"/>
    <w:rsid w:val="00CE429A"/>
    <w:rsid w:val="00CE4371"/>
    <w:rsid w:val="00CE43A6"/>
    <w:rsid w:val="00CE43E0"/>
    <w:rsid w:val="00CE443B"/>
    <w:rsid w:val="00CE44B8"/>
    <w:rsid w:val="00CE4536"/>
    <w:rsid w:val="00CE4671"/>
    <w:rsid w:val="00CE4983"/>
    <w:rsid w:val="00CE4A8A"/>
    <w:rsid w:val="00CE4ABD"/>
    <w:rsid w:val="00CE4BFE"/>
    <w:rsid w:val="00CE4D8F"/>
    <w:rsid w:val="00CE4EBB"/>
    <w:rsid w:val="00CE5765"/>
    <w:rsid w:val="00CE57AD"/>
    <w:rsid w:val="00CE5801"/>
    <w:rsid w:val="00CE5883"/>
    <w:rsid w:val="00CE5B15"/>
    <w:rsid w:val="00CE5D5F"/>
    <w:rsid w:val="00CE5F21"/>
    <w:rsid w:val="00CE5F4E"/>
    <w:rsid w:val="00CE5FE9"/>
    <w:rsid w:val="00CE6024"/>
    <w:rsid w:val="00CE604F"/>
    <w:rsid w:val="00CE61DA"/>
    <w:rsid w:val="00CE64C3"/>
    <w:rsid w:val="00CE64E6"/>
    <w:rsid w:val="00CE67BB"/>
    <w:rsid w:val="00CE682D"/>
    <w:rsid w:val="00CE687F"/>
    <w:rsid w:val="00CE6A3E"/>
    <w:rsid w:val="00CE6AC5"/>
    <w:rsid w:val="00CE6B3E"/>
    <w:rsid w:val="00CE6B87"/>
    <w:rsid w:val="00CE6BD0"/>
    <w:rsid w:val="00CE6D55"/>
    <w:rsid w:val="00CE6EC5"/>
    <w:rsid w:val="00CE6F2A"/>
    <w:rsid w:val="00CE7244"/>
    <w:rsid w:val="00CE7307"/>
    <w:rsid w:val="00CE7388"/>
    <w:rsid w:val="00CE7392"/>
    <w:rsid w:val="00CE74D1"/>
    <w:rsid w:val="00CE7554"/>
    <w:rsid w:val="00CE75E5"/>
    <w:rsid w:val="00CE77B8"/>
    <w:rsid w:val="00CE77E4"/>
    <w:rsid w:val="00CE78B8"/>
    <w:rsid w:val="00CE7A28"/>
    <w:rsid w:val="00CE7B03"/>
    <w:rsid w:val="00CE7C1F"/>
    <w:rsid w:val="00CE7D6B"/>
    <w:rsid w:val="00CE7E23"/>
    <w:rsid w:val="00CF0296"/>
    <w:rsid w:val="00CF0386"/>
    <w:rsid w:val="00CF03A5"/>
    <w:rsid w:val="00CF0A2D"/>
    <w:rsid w:val="00CF0B54"/>
    <w:rsid w:val="00CF0BCB"/>
    <w:rsid w:val="00CF0D25"/>
    <w:rsid w:val="00CF1112"/>
    <w:rsid w:val="00CF114A"/>
    <w:rsid w:val="00CF1345"/>
    <w:rsid w:val="00CF1425"/>
    <w:rsid w:val="00CF1477"/>
    <w:rsid w:val="00CF1548"/>
    <w:rsid w:val="00CF15E4"/>
    <w:rsid w:val="00CF16C8"/>
    <w:rsid w:val="00CF1719"/>
    <w:rsid w:val="00CF1777"/>
    <w:rsid w:val="00CF1852"/>
    <w:rsid w:val="00CF1923"/>
    <w:rsid w:val="00CF1992"/>
    <w:rsid w:val="00CF1BB9"/>
    <w:rsid w:val="00CF23DE"/>
    <w:rsid w:val="00CF2589"/>
    <w:rsid w:val="00CF268E"/>
    <w:rsid w:val="00CF2722"/>
    <w:rsid w:val="00CF27C5"/>
    <w:rsid w:val="00CF29E2"/>
    <w:rsid w:val="00CF2A6E"/>
    <w:rsid w:val="00CF31FF"/>
    <w:rsid w:val="00CF3358"/>
    <w:rsid w:val="00CF338B"/>
    <w:rsid w:val="00CF33D2"/>
    <w:rsid w:val="00CF343F"/>
    <w:rsid w:val="00CF36EE"/>
    <w:rsid w:val="00CF3708"/>
    <w:rsid w:val="00CF38B5"/>
    <w:rsid w:val="00CF4024"/>
    <w:rsid w:val="00CF4155"/>
    <w:rsid w:val="00CF419E"/>
    <w:rsid w:val="00CF4332"/>
    <w:rsid w:val="00CF434A"/>
    <w:rsid w:val="00CF43EB"/>
    <w:rsid w:val="00CF48CF"/>
    <w:rsid w:val="00CF49CB"/>
    <w:rsid w:val="00CF4A62"/>
    <w:rsid w:val="00CF4DCD"/>
    <w:rsid w:val="00CF4E58"/>
    <w:rsid w:val="00CF4EBC"/>
    <w:rsid w:val="00CF4F07"/>
    <w:rsid w:val="00CF51F8"/>
    <w:rsid w:val="00CF544C"/>
    <w:rsid w:val="00CF5513"/>
    <w:rsid w:val="00CF5540"/>
    <w:rsid w:val="00CF56DA"/>
    <w:rsid w:val="00CF5769"/>
    <w:rsid w:val="00CF578E"/>
    <w:rsid w:val="00CF5A22"/>
    <w:rsid w:val="00CF5B4C"/>
    <w:rsid w:val="00CF5D7D"/>
    <w:rsid w:val="00CF6470"/>
    <w:rsid w:val="00CF64EC"/>
    <w:rsid w:val="00CF6527"/>
    <w:rsid w:val="00CF6673"/>
    <w:rsid w:val="00CF6684"/>
    <w:rsid w:val="00CF6840"/>
    <w:rsid w:val="00CF6985"/>
    <w:rsid w:val="00CF6996"/>
    <w:rsid w:val="00CF6BB1"/>
    <w:rsid w:val="00CF6D6B"/>
    <w:rsid w:val="00CF6DBB"/>
    <w:rsid w:val="00CF6F02"/>
    <w:rsid w:val="00CF708F"/>
    <w:rsid w:val="00CF7198"/>
    <w:rsid w:val="00CF72C8"/>
    <w:rsid w:val="00CF7537"/>
    <w:rsid w:val="00CF7577"/>
    <w:rsid w:val="00CF7749"/>
    <w:rsid w:val="00CF78EA"/>
    <w:rsid w:val="00CF7A7F"/>
    <w:rsid w:val="00CF7F7E"/>
    <w:rsid w:val="00D00131"/>
    <w:rsid w:val="00D0039D"/>
    <w:rsid w:val="00D0040F"/>
    <w:rsid w:val="00D00419"/>
    <w:rsid w:val="00D00715"/>
    <w:rsid w:val="00D00737"/>
    <w:rsid w:val="00D0088A"/>
    <w:rsid w:val="00D00B63"/>
    <w:rsid w:val="00D00CF9"/>
    <w:rsid w:val="00D00E12"/>
    <w:rsid w:val="00D00E21"/>
    <w:rsid w:val="00D00E9E"/>
    <w:rsid w:val="00D00F14"/>
    <w:rsid w:val="00D010EF"/>
    <w:rsid w:val="00D01157"/>
    <w:rsid w:val="00D011FE"/>
    <w:rsid w:val="00D01206"/>
    <w:rsid w:val="00D01230"/>
    <w:rsid w:val="00D012CA"/>
    <w:rsid w:val="00D012DD"/>
    <w:rsid w:val="00D01341"/>
    <w:rsid w:val="00D01393"/>
    <w:rsid w:val="00D01418"/>
    <w:rsid w:val="00D014C0"/>
    <w:rsid w:val="00D015BE"/>
    <w:rsid w:val="00D015DB"/>
    <w:rsid w:val="00D018F5"/>
    <w:rsid w:val="00D01B0B"/>
    <w:rsid w:val="00D01B90"/>
    <w:rsid w:val="00D01BF1"/>
    <w:rsid w:val="00D01E04"/>
    <w:rsid w:val="00D01FB7"/>
    <w:rsid w:val="00D020D6"/>
    <w:rsid w:val="00D0218F"/>
    <w:rsid w:val="00D021D6"/>
    <w:rsid w:val="00D02304"/>
    <w:rsid w:val="00D0236E"/>
    <w:rsid w:val="00D02428"/>
    <w:rsid w:val="00D0268E"/>
    <w:rsid w:val="00D02DDA"/>
    <w:rsid w:val="00D02DDC"/>
    <w:rsid w:val="00D02DF7"/>
    <w:rsid w:val="00D02E3C"/>
    <w:rsid w:val="00D02FA0"/>
    <w:rsid w:val="00D030D4"/>
    <w:rsid w:val="00D03244"/>
    <w:rsid w:val="00D032D0"/>
    <w:rsid w:val="00D033E4"/>
    <w:rsid w:val="00D03440"/>
    <w:rsid w:val="00D0344B"/>
    <w:rsid w:val="00D036B1"/>
    <w:rsid w:val="00D03806"/>
    <w:rsid w:val="00D03836"/>
    <w:rsid w:val="00D039AF"/>
    <w:rsid w:val="00D03B7D"/>
    <w:rsid w:val="00D03BEA"/>
    <w:rsid w:val="00D03C04"/>
    <w:rsid w:val="00D03DC0"/>
    <w:rsid w:val="00D03F02"/>
    <w:rsid w:val="00D04120"/>
    <w:rsid w:val="00D04171"/>
    <w:rsid w:val="00D04204"/>
    <w:rsid w:val="00D0422D"/>
    <w:rsid w:val="00D04342"/>
    <w:rsid w:val="00D0436F"/>
    <w:rsid w:val="00D043DB"/>
    <w:rsid w:val="00D045ED"/>
    <w:rsid w:val="00D0475B"/>
    <w:rsid w:val="00D04815"/>
    <w:rsid w:val="00D04881"/>
    <w:rsid w:val="00D0489B"/>
    <w:rsid w:val="00D04971"/>
    <w:rsid w:val="00D049B3"/>
    <w:rsid w:val="00D04C40"/>
    <w:rsid w:val="00D04D70"/>
    <w:rsid w:val="00D05286"/>
    <w:rsid w:val="00D05382"/>
    <w:rsid w:val="00D055F5"/>
    <w:rsid w:val="00D05792"/>
    <w:rsid w:val="00D0583C"/>
    <w:rsid w:val="00D058AB"/>
    <w:rsid w:val="00D059CC"/>
    <w:rsid w:val="00D05AC3"/>
    <w:rsid w:val="00D05B53"/>
    <w:rsid w:val="00D05CF2"/>
    <w:rsid w:val="00D05E48"/>
    <w:rsid w:val="00D05EF0"/>
    <w:rsid w:val="00D05FF5"/>
    <w:rsid w:val="00D0605D"/>
    <w:rsid w:val="00D06365"/>
    <w:rsid w:val="00D06433"/>
    <w:rsid w:val="00D06476"/>
    <w:rsid w:val="00D06584"/>
    <w:rsid w:val="00D0668C"/>
    <w:rsid w:val="00D0668D"/>
    <w:rsid w:val="00D066EC"/>
    <w:rsid w:val="00D0693B"/>
    <w:rsid w:val="00D06C05"/>
    <w:rsid w:val="00D06C33"/>
    <w:rsid w:val="00D0724C"/>
    <w:rsid w:val="00D072D5"/>
    <w:rsid w:val="00D072E6"/>
    <w:rsid w:val="00D07328"/>
    <w:rsid w:val="00D073E6"/>
    <w:rsid w:val="00D07603"/>
    <w:rsid w:val="00D0777F"/>
    <w:rsid w:val="00D07783"/>
    <w:rsid w:val="00D07913"/>
    <w:rsid w:val="00D07A8E"/>
    <w:rsid w:val="00D07AD5"/>
    <w:rsid w:val="00D07ADA"/>
    <w:rsid w:val="00D07AF1"/>
    <w:rsid w:val="00D07D8A"/>
    <w:rsid w:val="00D1008A"/>
    <w:rsid w:val="00D1025E"/>
    <w:rsid w:val="00D10314"/>
    <w:rsid w:val="00D10535"/>
    <w:rsid w:val="00D1063B"/>
    <w:rsid w:val="00D10677"/>
    <w:rsid w:val="00D1085E"/>
    <w:rsid w:val="00D1097D"/>
    <w:rsid w:val="00D10A28"/>
    <w:rsid w:val="00D10A9D"/>
    <w:rsid w:val="00D10BFB"/>
    <w:rsid w:val="00D10F64"/>
    <w:rsid w:val="00D10F6F"/>
    <w:rsid w:val="00D11158"/>
    <w:rsid w:val="00D1122E"/>
    <w:rsid w:val="00D113A5"/>
    <w:rsid w:val="00D11433"/>
    <w:rsid w:val="00D114A1"/>
    <w:rsid w:val="00D114D7"/>
    <w:rsid w:val="00D116FD"/>
    <w:rsid w:val="00D11754"/>
    <w:rsid w:val="00D1180D"/>
    <w:rsid w:val="00D11825"/>
    <w:rsid w:val="00D11A5C"/>
    <w:rsid w:val="00D11E1E"/>
    <w:rsid w:val="00D11EF0"/>
    <w:rsid w:val="00D11EFB"/>
    <w:rsid w:val="00D1252E"/>
    <w:rsid w:val="00D128D1"/>
    <w:rsid w:val="00D128DE"/>
    <w:rsid w:val="00D12ACC"/>
    <w:rsid w:val="00D12B86"/>
    <w:rsid w:val="00D12C81"/>
    <w:rsid w:val="00D12D1C"/>
    <w:rsid w:val="00D12E37"/>
    <w:rsid w:val="00D12E83"/>
    <w:rsid w:val="00D12ED4"/>
    <w:rsid w:val="00D12F5D"/>
    <w:rsid w:val="00D12F7A"/>
    <w:rsid w:val="00D1310A"/>
    <w:rsid w:val="00D13223"/>
    <w:rsid w:val="00D13707"/>
    <w:rsid w:val="00D137FE"/>
    <w:rsid w:val="00D139CF"/>
    <w:rsid w:val="00D13A94"/>
    <w:rsid w:val="00D13BA0"/>
    <w:rsid w:val="00D13CB7"/>
    <w:rsid w:val="00D13FE6"/>
    <w:rsid w:val="00D1403D"/>
    <w:rsid w:val="00D141BC"/>
    <w:rsid w:val="00D143C4"/>
    <w:rsid w:val="00D143C6"/>
    <w:rsid w:val="00D145A4"/>
    <w:rsid w:val="00D147C3"/>
    <w:rsid w:val="00D148FC"/>
    <w:rsid w:val="00D14936"/>
    <w:rsid w:val="00D14AC6"/>
    <w:rsid w:val="00D14B6E"/>
    <w:rsid w:val="00D14BEF"/>
    <w:rsid w:val="00D14C42"/>
    <w:rsid w:val="00D14D3C"/>
    <w:rsid w:val="00D14EAA"/>
    <w:rsid w:val="00D150AD"/>
    <w:rsid w:val="00D15147"/>
    <w:rsid w:val="00D1527F"/>
    <w:rsid w:val="00D153EE"/>
    <w:rsid w:val="00D15726"/>
    <w:rsid w:val="00D1593E"/>
    <w:rsid w:val="00D15A38"/>
    <w:rsid w:val="00D15B48"/>
    <w:rsid w:val="00D15C00"/>
    <w:rsid w:val="00D15C99"/>
    <w:rsid w:val="00D15D4C"/>
    <w:rsid w:val="00D15F09"/>
    <w:rsid w:val="00D15FF1"/>
    <w:rsid w:val="00D16209"/>
    <w:rsid w:val="00D16309"/>
    <w:rsid w:val="00D163B1"/>
    <w:rsid w:val="00D164A3"/>
    <w:rsid w:val="00D16599"/>
    <w:rsid w:val="00D165E0"/>
    <w:rsid w:val="00D166A9"/>
    <w:rsid w:val="00D1673D"/>
    <w:rsid w:val="00D1682A"/>
    <w:rsid w:val="00D169E1"/>
    <w:rsid w:val="00D16B17"/>
    <w:rsid w:val="00D16C54"/>
    <w:rsid w:val="00D16E60"/>
    <w:rsid w:val="00D16F8A"/>
    <w:rsid w:val="00D17196"/>
    <w:rsid w:val="00D171AB"/>
    <w:rsid w:val="00D17282"/>
    <w:rsid w:val="00D173A5"/>
    <w:rsid w:val="00D173F5"/>
    <w:rsid w:val="00D1743E"/>
    <w:rsid w:val="00D17545"/>
    <w:rsid w:val="00D17577"/>
    <w:rsid w:val="00D1790E"/>
    <w:rsid w:val="00D1791C"/>
    <w:rsid w:val="00D17AA4"/>
    <w:rsid w:val="00D17C9E"/>
    <w:rsid w:val="00D17D0E"/>
    <w:rsid w:val="00D17D10"/>
    <w:rsid w:val="00D17F55"/>
    <w:rsid w:val="00D17F8A"/>
    <w:rsid w:val="00D19A59"/>
    <w:rsid w:val="00D20067"/>
    <w:rsid w:val="00D20191"/>
    <w:rsid w:val="00D20227"/>
    <w:rsid w:val="00D202A2"/>
    <w:rsid w:val="00D2040C"/>
    <w:rsid w:val="00D204CF"/>
    <w:rsid w:val="00D2068A"/>
    <w:rsid w:val="00D20807"/>
    <w:rsid w:val="00D20A0E"/>
    <w:rsid w:val="00D20A26"/>
    <w:rsid w:val="00D20A7A"/>
    <w:rsid w:val="00D20A89"/>
    <w:rsid w:val="00D20BBF"/>
    <w:rsid w:val="00D20C55"/>
    <w:rsid w:val="00D20D3A"/>
    <w:rsid w:val="00D20D53"/>
    <w:rsid w:val="00D20D7C"/>
    <w:rsid w:val="00D20DF7"/>
    <w:rsid w:val="00D210BA"/>
    <w:rsid w:val="00D21111"/>
    <w:rsid w:val="00D211F3"/>
    <w:rsid w:val="00D2142F"/>
    <w:rsid w:val="00D214E4"/>
    <w:rsid w:val="00D214F5"/>
    <w:rsid w:val="00D21884"/>
    <w:rsid w:val="00D218AD"/>
    <w:rsid w:val="00D2194F"/>
    <w:rsid w:val="00D21C12"/>
    <w:rsid w:val="00D21D01"/>
    <w:rsid w:val="00D21EDB"/>
    <w:rsid w:val="00D21F6F"/>
    <w:rsid w:val="00D22185"/>
    <w:rsid w:val="00D22244"/>
    <w:rsid w:val="00D22257"/>
    <w:rsid w:val="00D2233B"/>
    <w:rsid w:val="00D223B2"/>
    <w:rsid w:val="00D22471"/>
    <w:rsid w:val="00D22528"/>
    <w:rsid w:val="00D22866"/>
    <w:rsid w:val="00D22A56"/>
    <w:rsid w:val="00D22A9D"/>
    <w:rsid w:val="00D22AFB"/>
    <w:rsid w:val="00D22B60"/>
    <w:rsid w:val="00D22C97"/>
    <w:rsid w:val="00D22CD0"/>
    <w:rsid w:val="00D22DBD"/>
    <w:rsid w:val="00D22FC2"/>
    <w:rsid w:val="00D23086"/>
    <w:rsid w:val="00D23270"/>
    <w:rsid w:val="00D232AB"/>
    <w:rsid w:val="00D2344A"/>
    <w:rsid w:val="00D23653"/>
    <w:rsid w:val="00D237CC"/>
    <w:rsid w:val="00D23B91"/>
    <w:rsid w:val="00D23C0F"/>
    <w:rsid w:val="00D23C4C"/>
    <w:rsid w:val="00D23C68"/>
    <w:rsid w:val="00D23C99"/>
    <w:rsid w:val="00D23E63"/>
    <w:rsid w:val="00D2410A"/>
    <w:rsid w:val="00D241B6"/>
    <w:rsid w:val="00D242F5"/>
    <w:rsid w:val="00D2430E"/>
    <w:rsid w:val="00D24467"/>
    <w:rsid w:val="00D244EA"/>
    <w:rsid w:val="00D24634"/>
    <w:rsid w:val="00D2464E"/>
    <w:rsid w:val="00D246BC"/>
    <w:rsid w:val="00D24723"/>
    <w:rsid w:val="00D24888"/>
    <w:rsid w:val="00D2488E"/>
    <w:rsid w:val="00D24A52"/>
    <w:rsid w:val="00D24ACE"/>
    <w:rsid w:val="00D24B1F"/>
    <w:rsid w:val="00D250D5"/>
    <w:rsid w:val="00D25437"/>
    <w:rsid w:val="00D2565A"/>
    <w:rsid w:val="00D2566D"/>
    <w:rsid w:val="00D2584A"/>
    <w:rsid w:val="00D258F1"/>
    <w:rsid w:val="00D25A55"/>
    <w:rsid w:val="00D25AA0"/>
    <w:rsid w:val="00D25BCA"/>
    <w:rsid w:val="00D25C3B"/>
    <w:rsid w:val="00D25D08"/>
    <w:rsid w:val="00D2617C"/>
    <w:rsid w:val="00D2620F"/>
    <w:rsid w:val="00D26228"/>
    <w:rsid w:val="00D2636F"/>
    <w:rsid w:val="00D26380"/>
    <w:rsid w:val="00D26562"/>
    <w:rsid w:val="00D26710"/>
    <w:rsid w:val="00D26869"/>
    <w:rsid w:val="00D26BE3"/>
    <w:rsid w:val="00D26CB7"/>
    <w:rsid w:val="00D26E0C"/>
    <w:rsid w:val="00D26ECB"/>
    <w:rsid w:val="00D26FD7"/>
    <w:rsid w:val="00D2705F"/>
    <w:rsid w:val="00D27231"/>
    <w:rsid w:val="00D27278"/>
    <w:rsid w:val="00D2733C"/>
    <w:rsid w:val="00D273BB"/>
    <w:rsid w:val="00D2756E"/>
    <w:rsid w:val="00D27654"/>
    <w:rsid w:val="00D276A8"/>
    <w:rsid w:val="00D276CC"/>
    <w:rsid w:val="00D2792D"/>
    <w:rsid w:val="00D27960"/>
    <w:rsid w:val="00D27B20"/>
    <w:rsid w:val="00D27BE7"/>
    <w:rsid w:val="00D27CD3"/>
    <w:rsid w:val="00D27D65"/>
    <w:rsid w:val="00D27F71"/>
    <w:rsid w:val="00D30154"/>
    <w:rsid w:val="00D301EC"/>
    <w:rsid w:val="00D302A4"/>
    <w:rsid w:val="00D3037D"/>
    <w:rsid w:val="00D3038F"/>
    <w:rsid w:val="00D30416"/>
    <w:rsid w:val="00D30424"/>
    <w:rsid w:val="00D30434"/>
    <w:rsid w:val="00D306CE"/>
    <w:rsid w:val="00D3072E"/>
    <w:rsid w:val="00D308BE"/>
    <w:rsid w:val="00D308DA"/>
    <w:rsid w:val="00D3096B"/>
    <w:rsid w:val="00D30A7C"/>
    <w:rsid w:val="00D30ADB"/>
    <w:rsid w:val="00D30B71"/>
    <w:rsid w:val="00D30D2F"/>
    <w:rsid w:val="00D30DA8"/>
    <w:rsid w:val="00D30E20"/>
    <w:rsid w:val="00D30E58"/>
    <w:rsid w:val="00D3120F"/>
    <w:rsid w:val="00D312DF"/>
    <w:rsid w:val="00D314AC"/>
    <w:rsid w:val="00D314AF"/>
    <w:rsid w:val="00D31699"/>
    <w:rsid w:val="00D316C7"/>
    <w:rsid w:val="00D3170E"/>
    <w:rsid w:val="00D317C9"/>
    <w:rsid w:val="00D3197C"/>
    <w:rsid w:val="00D31AB8"/>
    <w:rsid w:val="00D31BB5"/>
    <w:rsid w:val="00D31CC6"/>
    <w:rsid w:val="00D31D35"/>
    <w:rsid w:val="00D31D89"/>
    <w:rsid w:val="00D31E3E"/>
    <w:rsid w:val="00D31EA5"/>
    <w:rsid w:val="00D31F58"/>
    <w:rsid w:val="00D31F5A"/>
    <w:rsid w:val="00D32049"/>
    <w:rsid w:val="00D320D0"/>
    <w:rsid w:val="00D3213B"/>
    <w:rsid w:val="00D3214F"/>
    <w:rsid w:val="00D32201"/>
    <w:rsid w:val="00D3233D"/>
    <w:rsid w:val="00D3239D"/>
    <w:rsid w:val="00D323BC"/>
    <w:rsid w:val="00D32497"/>
    <w:rsid w:val="00D329E7"/>
    <w:rsid w:val="00D32A13"/>
    <w:rsid w:val="00D32A36"/>
    <w:rsid w:val="00D32B2F"/>
    <w:rsid w:val="00D32C7D"/>
    <w:rsid w:val="00D32EE1"/>
    <w:rsid w:val="00D32FA7"/>
    <w:rsid w:val="00D330F4"/>
    <w:rsid w:val="00D33523"/>
    <w:rsid w:val="00D33707"/>
    <w:rsid w:val="00D33863"/>
    <w:rsid w:val="00D3387C"/>
    <w:rsid w:val="00D33B5E"/>
    <w:rsid w:val="00D33C5A"/>
    <w:rsid w:val="00D33CB8"/>
    <w:rsid w:val="00D33D43"/>
    <w:rsid w:val="00D33E65"/>
    <w:rsid w:val="00D33FEB"/>
    <w:rsid w:val="00D34219"/>
    <w:rsid w:val="00D3437B"/>
    <w:rsid w:val="00D3448C"/>
    <w:rsid w:val="00D34A05"/>
    <w:rsid w:val="00D34A9D"/>
    <w:rsid w:val="00D34AD7"/>
    <w:rsid w:val="00D34AFD"/>
    <w:rsid w:val="00D34D3B"/>
    <w:rsid w:val="00D34ED8"/>
    <w:rsid w:val="00D34ED9"/>
    <w:rsid w:val="00D3513C"/>
    <w:rsid w:val="00D351B2"/>
    <w:rsid w:val="00D354DA"/>
    <w:rsid w:val="00D354E7"/>
    <w:rsid w:val="00D3567C"/>
    <w:rsid w:val="00D35939"/>
    <w:rsid w:val="00D359AF"/>
    <w:rsid w:val="00D35A34"/>
    <w:rsid w:val="00D35B56"/>
    <w:rsid w:val="00D35C08"/>
    <w:rsid w:val="00D35C9A"/>
    <w:rsid w:val="00D35D1F"/>
    <w:rsid w:val="00D35D9D"/>
    <w:rsid w:val="00D35DEF"/>
    <w:rsid w:val="00D35EA7"/>
    <w:rsid w:val="00D36037"/>
    <w:rsid w:val="00D361C2"/>
    <w:rsid w:val="00D363CD"/>
    <w:rsid w:val="00D36503"/>
    <w:rsid w:val="00D365A8"/>
    <w:rsid w:val="00D365F0"/>
    <w:rsid w:val="00D365F9"/>
    <w:rsid w:val="00D367B3"/>
    <w:rsid w:val="00D36917"/>
    <w:rsid w:val="00D3698E"/>
    <w:rsid w:val="00D369B7"/>
    <w:rsid w:val="00D369ED"/>
    <w:rsid w:val="00D36AAF"/>
    <w:rsid w:val="00D36EB0"/>
    <w:rsid w:val="00D37007"/>
    <w:rsid w:val="00D3737C"/>
    <w:rsid w:val="00D37404"/>
    <w:rsid w:val="00D37A4C"/>
    <w:rsid w:val="00D37ADD"/>
    <w:rsid w:val="00D37BAB"/>
    <w:rsid w:val="00D37BD0"/>
    <w:rsid w:val="00D37D08"/>
    <w:rsid w:val="00D3C20F"/>
    <w:rsid w:val="00D4005F"/>
    <w:rsid w:val="00D4017C"/>
    <w:rsid w:val="00D4043F"/>
    <w:rsid w:val="00D40611"/>
    <w:rsid w:val="00D40634"/>
    <w:rsid w:val="00D4067D"/>
    <w:rsid w:val="00D406E4"/>
    <w:rsid w:val="00D4077F"/>
    <w:rsid w:val="00D40812"/>
    <w:rsid w:val="00D40861"/>
    <w:rsid w:val="00D40A87"/>
    <w:rsid w:val="00D40B21"/>
    <w:rsid w:val="00D40B30"/>
    <w:rsid w:val="00D40CEA"/>
    <w:rsid w:val="00D41197"/>
    <w:rsid w:val="00D411BA"/>
    <w:rsid w:val="00D41446"/>
    <w:rsid w:val="00D41564"/>
    <w:rsid w:val="00D41770"/>
    <w:rsid w:val="00D41947"/>
    <w:rsid w:val="00D41B25"/>
    <w:rsid w:val="00D41B60"/>
    <w:rsid w:val="00D41C02"/>
    <w:rsid w:val="00D41CE0"/>
    <w:rsid w:val="00D41E2C"/>
    <w:rsid w:val="00D41F44"/>
    <w:rsid w:val="00D41FF6"/>
    <w:rsid w:val="00D4201E"/>
    <w:rsid w:val="00D421B0"/>
    <w:rsid w:val="00D42211"/>
    <w:rsid w:val="00D42234"/>
    <w:rsid w:val="00D42246"/>
    <w:rsid w:val="00D42294"/>
    <w:rsid w:val="00D425BB"/>
    <w:rsid w:val="00D4264D"/>
    <w:rsid w:val="00D426FE"/>
    <w:rsid w:val="00D42806"/>
    <w:rsid w:val="00D4282A"/>
    <w:rsid w:val="00D42931"/>
    <w:rsid w:val="00D4296F"/>
    <w:rsid w:val="00D42BA8"/>
    <w:rsid w:val="00D42D41"/>
    <w:rsid w:val="00D430B0"/>
    <w:rsid w:val="00D431B9"/>
    <w:rsid w:val="00D43276"/>
    <w:rsid w:val="00D43362"/>
    <w:rsid w:val="00D433F7"/>
    <w:rsid w:val="00D4367C"/>
    <w:rsid w:val="00D4375D"/>
    <w:rsid w:val="00D43A54"/>
    <w:rsid w:val="00D43C7D"/>
    <w:rsid w:val="00D43D16"/>
    <w:rsid w:val="00D43E60"/>
    <w:rsid w:val="00D4408E"/>
    <w:rsid w:val="00D44180"/>
    <w:rsid w:val="00D4442D"/>
    <w:rsid w:val="00D4444D"/>
    <w:rsid w:val="00D447D7"/>
    <w:rsid w:val="00D448AD"/>
    <w:rsid w:val="00D44B74"/>
    <w:rsid w:val="00D44D12"/>
    <w:rsid w:val="00D44D9F"/>
    <w:rsid w:val="00D454C9"/>
    <w:rsid w:val="00D45593"/>
    <w:rsid w:val="00D456D4"/>
    <w:rsid w:val="00D457A2"/>
    <w:rsid w:val="00D4583C"/>
    <w:rsid w:val="00D459EE"/>
    <w:rsid w:val="00D45AF2"/>
    <w:rsid w:val="00D45B1F"/>
    <w:rsid w:val="00D45CB3"/>
    <w:rsid w:val="00D45E85"/>
    <w:rsid w:val="00D45ECE"/>
    <w:rsid w:val="00D45F4F"/>
    <w:rsid w:val="00D45FDB"/>
    <w:rsid w:val="00D45FE7"/>
    <w:rsid w:val="00D45FE8"/>
    <w:rsid w:val="00D4609E"/>
    <w:rsid w:val="00D46426"/>
    <w:rsid w:val="00D465E8"/>
    <w:rsid w:val="00D46667"/>
    <w:rsid w:val="00D4698A"/>
    <w:rsid w:val="00D46BAB"/>
    <w:rsid w:val="00D46C3C"/>
    <w:rsid w:val="00D46C4E"/>
    <w:rsid w:val="00D46D55"/>
    <w:rsid w:val="00D46DCB"/>
    <w:rsid w:val="00D47051"/>
    <w:rsid w:val="00D47127"/>
    <w:rsid w:val="00D475ED"/>
    <w:rsid w:val="00D47828"/>
    <w:rsid w:val="00D47865"/>
    <w:rsid w:val="00D47876"/>
    <w:rsid w:val="00D47976"/>
    <w:rsid w:val="00D47B0F"/>
    <w:rsid w:val="00D47EA3"/>
    <w:rsid w:val="00D47F2A"/>
    <w:rsid w:val="00D47F88"/>
    <w:rsid w:val="00D50151"/>
    <w:rsid w:val="00D50179"/>
    <w:rsid w:val="00D50195"/>
    <w:rsid w:val="00D501E6"/>
    <w:rsid w:val="00D502C2"/>
    <w:rsid w:val="00D5030C"/>
    <w:rsid w:val="00D5033E"/>
    <w:rsid w:val="00D507EB"/>
    <w:rsid w:val="00D5080E"/>
    <w:rsid w:val="00D50874"/>
    <w:rsid w:val="00D50ACB"/>
    <w:rsid w:val="00D50B4F"/>
    <w:rsid w:val="00D50BDF"/>
    <w:rsid w:val="00D50CA1"/>
    <w:rsid w:val="00D50D16"/>
    <w:rsid w:val="00D50DC4"/>
    <w:rsid w:val="00D50DE6"/>
    <w:rsid w:val="00D50E06"/>
    <w:rsid w:val="00D512A6"/>
    <w:rsid w:val="00D51333"/>
    <w:rsid w:val="00D5144E"/>
    <w:rsid w:val="00D514CE"/>
    <w:rsid w:val="00D517E4"/>
    <w:rsid w:val="00D51879"/>
    <w:rsid w:val="00D51C52"/>
    <w:rsid w:val="00D51F71"/>
    <w:rsid w:val="00D51F89"/>
    <w:rsid w:val="00D5201E"/>
    <w:rsid w:val="00D5205A"/>
    <w:rsid w:val="00D523D2"/>
    <w:rsid w:val="00D52527"/>
    <w:rsid w:val="00D5267A"/>
    <w:rsid w:val="00D5270D"/>
    <w:rsid w:val="00D52812"/>
    <w:rsid w:val="00D528BF"/>
    <w:rsid w:val="00D52AB0"/>
    <w:rsid w:val="00D52B8D"/>
    <w:rsid w:val="00D52BC2"/>
    <w:rsid w:val="00D52C34"/>
    <w:rsid w:val="00D52D07"/>
    <w:rsid w:val="00D52DEF"/>
    <w:rsid w:val="00D52F05"/>
    <w:rsid w:val="00D52F6E"/>
    <w:rsid w:val="00D52F79"/>
    <w:rsid w:val="00D53058"/>
    <w:rsid w:val="00D535BD"/>
    <w:rsid w:val="00D53733"/>
    <w:rsid w:val="00D53740"/>
    <w:rsid w:val="00D538BE"/>
    <w:rsid w:val="00D539EB"/>
    <w:rsid w:val="00D53A19"/>
    <w:rsid w:val="00D53BE5"/>
    <w:rsid w:val="00D53C25"/>
    <w:rsid w:val="00D53E58"/>
    <w:rsid w:val="00D540F4"/>
    <w:rsid w:val="00D54197"/>
    <w:rsid w:val="00D545C9"/>
    <w:rsid w:val="00D54602"/>
    <w:rsid w:val="00D54779"/>
    <w:rsid w:val="00D5477D"/>
    <w:rsid w:val="00D548E0"/>
    <w:rsid w:val="00D54A60"/>
    <w:rsid w:val="00D54B4B"/>
    <w:rsid w:val="00D54E59"/>
    <w:rsid w:val="00D54ED8"/>
    <w:rsid w:val="00D55072"/>
    <w:rsid w:val="00D5519D"/>
    <w:rsid w:val="00D55237"/>
    <w:rsid w:val="00D552BE"/>
    <w:rsid w:val="00D55716"/>
    <w:rsid w:val="00D5571E"/>
    <w:rsid w:val="00D55A26"/>
    <w:rsid w:val="00D55B17"/>
    <w:rsid w:val="00D55B66"/>
    <w:rsid w:val="00D55E60"/>
    <w:rsid w:val="00D55E90"/>
    <w:rsid w:val="00D55FC5"/>
    <w:rsid w:val="00D5609A"/>
    <w:rsid w:val="00D5663A"/>
    <w:rsid w:val="00D5665F"/>
    <w:rsid w:val="00D56A76"/>
    <w:rsid w:val="00D56A86"/>
    <w:rsid w:val="00D56A87"/>
    <w:rsid w:val="00D56B67"/>
    <w:rsid w:val="00D56CEE"/>
    <w:rsid w:val="00D56D34"/>
    <w:rsid w:val="00D56E99"/>
    <w:rsid w:val="00D57065"/>
    <w:rsid w:val="00D57169"/>
    <w:rsid w:val="00D5724F"/>
    <w:rsid w:val="00D5765D"/>
    <w:rsid w:val="00D576FC"/>
    <w:rsid w:val="00D577AA"/>
    <w:rsid w:val="00D577C9"/>
    <w:rsid w:val="00D578B9"/>
    <w:rsid w:val="00D579AB"/>
    <w:rsid w:val="00D57AAE"/>
    <w:rsid w:val="00D57DAC"/>
    <w:rsid w:val="00D57E7C"/>
    <w:rsid w:val="00D60089"/>
    <w:rsid w:val="00D605C0"/>
    <w:rsid w:val="00D606A9"/>
    <w:rsid w:val="00D60B06"/>
    <w:rsid w:val="00D60BA2"/>
    <w:rsid w:val="00D60C20"/>
    <w:rsid w:val="00D60C3F"/>
    <w:rsid w:val="00D60D2C"/>
    <w:rsid w:val="00D60DD3"/>
    <w:rsid w:val="00D60F7C"/>
    <w:rsid w:val="00D610DE"/>
    <w:rsid w:val="00D61136"/>
    <w:rsid w:val="00D61153"/>
    <w:rsid w:val="00D61464"/>
    <w:rsid w:val="00D61465"/>
    <w:rsid w:val="00D614A6"/>
    <w:rsid w:val="00D614D3"/>
    <w:rsid w:val="00D6156A"/>
    <w:rsid w:val="00D61774"/>
    <w:rsid w:val="00D617AB"/>
    <w:rsid w:val="00D617E3"/>
    <w:rsid w:val="00D61852"/>
    <w:rsid w:val="00D61B53"/>
    <w:rsid w:val="00D61DC3"/>
    <w:rsid w:val="00D61E46"/>
    <w:rsid w:val="00D61FBE"/>
    <w:rsid w:val="00D625E6"/>
    <w:rsid w:val="00D627FC"/>
    <w:rsid w:val="00D62A6D"/>
    <w:rsid w:val="00D62A86"/>
    <w:rsid w:val="00D62B03"/>
    <w:rsid w:val="00D62B73"/>
    <w:rsid w:val="00D62BF1"/>
    <w:rsid w:val="00D62DE8"/>
    <w:rsid w:val="00D62E22"/>
    <w:rsid w:val="00D6313F"/>
    <w:rsid w:val="00D6336B"/>
    <w:rsid w:val="00D6349B"/>
    <w:rsid w:val="00D634DE"/>
    <w:rsid w:val="00D634F5"/>
    <w:rsid w:val="00D636E0"/>
    <w:rsid w:val="00D637B1"/>
    <w:rsid w:val="00D637DC"/>
    <w:rsid w:val="00D63923"/>
    <w:rsid w:val="00D63A04"/>
    <w:rsid w:val="00D63D31"/>
    <w:rsid w:val="00D63E46"/>
    <w:rsid w:val="00D63FB7"/>
    <w:rsid w:val="00D63FDB"/>
    <w:rsid w:val="00D64015"/>
    <w:rsid w:val="00D64025"/>
    <w:rsid w:val="00D64103"/>
    <w:rsid w:val="00D64108"/>
    <w:rsid w:val="00D64122"/>
    <w:rsid w:val="00D64186"/>
    <w:rsid w:val="00D641AA"/>
    <w:rsid w:val="00D642B0"/>
    <w:rsid w:val="00D643FB"/>
    <w:rsid w:val="00D6488B"/>
    <w:rsid w:val="00D64B9F"/>
    <w:rsid w:val="00D64C35"/>
    <w:rsid w:val="00D64D59"/>
    <w:rsid w:val="00D6557D"/>
    <w:rsid w:val="00D656F5"/>
    <w:rsid w:val="00D658F5"/>
    <w:rsid w:val="00D65B3F"/>
    <w:rsid w:val="00D65D41"/>
    <w:rsid w:val="00D65DD4"/>
    <w:rsid w:val="00D65E1B"/>
    <w:rsid w:val="00D66039"/>
    <w:rsid w:val="00D6615B"/>
    <w:rsid w:val="00D661ED"/>
    <w:rsid w:val="00D6629F"/>
    <w:rsid w:val="00D664AB"/>
    <w:rsid w:val="00D66674"/>
    <w:rsid w:val="00D666A2"/>
    <w:rsid w:val="00D66794"/>
    <w:rsid w:val="00D6687F"/>
    <w:rsid w:val="00D6688B"/>
    <w:rsid w:val="00D6692D"/>
    <w:rsid w:val="00D66CE3"/>
    <w:rsid w:val="00D66DD2"/>
    <w:rsid w:val="00D66E1F"/>
    <w:rsid w:val="00D66E76"/>
    <w:rsid w:val="00D66F54"/>
    <w:rsid w:val="00D6704A"/>
    <w:rsid w:val="00D6710F"/>
    <w:rsid w:val="00D6721F"/>
    <w:rsid w:val="00D67490"/>
    <w:rsid w:val="00D6780F"/>
    <w:rsid w:val="00D67A5F"/>
    <w:rsid w:val="00D67B0D"/>
    <w:rsid w:val="00D67C31"/>
    <w:rsid w:val="00D67FF4"/>
    <w:rsid w:val="00D701AA"/>
    <w:rsid w:val="00D7042D"/>
    <w:rsid w:val="00D704C9"/>
    <w:rsid w:val="00D706DE"/>
    <w:rsid w:val="00D70804"/>
    <w:rsid w:val="00D70913"/>
    <w:rsid w:val="00D70BB2"/>
    <w:rsid w:val="00D70BBC"/>
    <w:rsid w:val="00D70BEE"/>
    <w:rsid w:val="00D70DB2"/>
    <w:rsid w:val="00D70E89"/>
    <w:rsid w:val="00D7102D"/>
    <w:rsid w:val="00D711C8"/>
    <w:rsid w:val="00D7124D"/>
    <w:rsid w:val="00D7135B"/>
    <w:rsid w:val="00D71424"/>
    <w:rsid w:val="00D715A3"/>
    <w:rsid w:val="00D716C7"/>
    <w:rsid w:val="00D71784"/>
    <w:rsid w:val="00D71860"/>
    <w:rsid w:val="00D7195F"/>
    <w:rsid w:val="00D719D7"/>
    <w:rsid w:val="00D71B8B"/>
    <w:rsid w:val="00D71C96"/>
    <w:rsid w:val="00D71DEB"/>
    <w:rsid w:val="00D71EFF"/>
    <w:rsid w:val="00D7205D"/>
    <w:rsid w:val="00D7208B"/>
    <w:rsid w:val="00D722B9"/>
    <w:rsid w:val="00D72626"/>
    <w:rsid w:val="00D726D6"/>
    <w:rsid w:val="00D7279A"/>
    <w:rsid w:val="00D72C23"/>
    <w:rsid w:val="00D72E83"/>
    <w:rsid w:val="00D72EAC"/>
    <w:rsid w:val="00D731E8"/>
    <w:rsid w:val="00D73336"/>
    <w:rsid w:val="00D73383"/>
    <w:rsid w:val="00D735D1"/>
    <w:rsid w:val="00D73867"/>
    <w:rsid w:val="00D738AC"/>
    <w:rsid w:val="00D73976"/>
    <w:rsid w:val="00D739D5"/>
    <w:rsid w:val="00D73B1E"/>
    <w:rsid w:val="00D73E68"/>
    <w:rsid w:val="00D73F48"/>
    <w:rsid w:val="00D74191"/>
    <w:rsid w:val="00D744E7"/>
    <w:rsid w:val="00D745BD"/>
    <w:rsid w:val="00D74628"/>
    <w:rsid w:val="00D746EC"/>
    <w:rsid w:val="00D74718"/>
    <w:rsid w:val="00D747B9"/>
    <w:rsid w:val="00D747BB"/>
    <w:rsid w:val="00D74803"/>
    <w:rsid w:val="00D74BCE"/>
    <w:rsid w:val="00D74E5A"/>
    <w:rsid w:val="00D74E99"/>
    <w:rsid w:val="00D74F08"/>
    <w:rsid w:val="00D74FE2"/>
    <w:rsid w:val="00D7508A"/>
    <w:rsid w:val="00D7521D"/>
    <w:rsid w:val="00D753EC"/>
    <w:rsid w:val="00D754B0"/>
    <w:rsid w:val="00D754E3"/>
    <w:rsid w:val="00D75655"/>
    <w:rsid w:val="00D7574B"/>
    <w:rsid w:val="00D75851"/>
    <w:rsid w:val="00D75B6E"/>
    <w:rsid w:val="00D75BCD"/>
    <w:rsid w:val="00D75E79"/>
    <w:rsid w:val="00D760C3"/>
    <w:rsid w:val="00D762A8"/>
    <w:rsid w:val="00D7639D"/>
    <w:rsid w:val="00D7651C"/>
    <w:rsid w:val="00D76608"/>
    <w:rsid w:val="00D7680D"/>
    <w:rsid w:val="00D7683A"/>
    <w:rsid w:val="00D769A4"/>
    <w:rsid w:val="00D76A2C"/>
    <w:rsid w:val="00D76A67"/>
    <w:rsid w:val="00D76C45"/>
    <w:rsid w:val="00D76C4B"/>
    <w:rsid w:val="00D76C69"/>
    <w:rsid w:val="00D76C6F"/>
    <w:rsid w:val="00D76FB0"/>
    <w:rsid w:val="00D770A6"/>
    <w:rsid w:val="00D771B6"/>
    <w:rsid w:val="00D7737B"/>
    <w:rsid w:val="00D77428"/>
    <w:rsid w:val="00D77644"/>
    <w:rsid w:val="00D77A64"/>
    <w:rsid w:val="00D77AE9"/>
    <w:rsid w:val="00D77B1D"/>
    <w:rsid w:val="00D77B21"/>
    <w:rsid w:val="00D77BF8"/>
    <w:rsid w:val="00D77D24"/>
    <w:rsid w:val="00D77DB8"/>
    <w:rsid w:val="00D77EC4"/>
    <w:rsid w:val="00D8015F"/>
    <w:rsid w:val="00D801D8"/>
    <w:rsid w:val="00D802D7"/>
    <w:rsid w:val="00D8034A"/>
    <w:rsid w:val="00D80780"/>
    <w:rsid w:val="00D80E7F"/>
    <w:rsid w:val="00D810FC"/>
    <w:rsid w:val="00D8138E"/>
    <w:rsid w:val="00D81641"/>
    <w:rsid w:val="00D8164C"/>
    <w:rsid w:val="00D8165A"/>
    <w:rsid w:val="00D81716"/>
    <w:rsid w:val="00D817A6"/>
    <w:rsid w:val="00D817A7"/>
    <w:rsid w:val="00D81953"/>
    <w:rsid w:val="00D81B9F"/>
    <w:rsid w:val="00D81C2D"/>
    <w:rsid w:val="00D81EEA"/>
    <w:rsid w:val="00D8220D"/>
    <w:rsid w:val="00D8223F"/>
    <w:rsid w:val="00D825B2"/>
    <w:rsid w:val="00D826FD"/>
    <w:rsid w:val="00D82840"/>
    <w:rsid w:val="00D82A1C"/>
    <w:rsid w:val="00D82B5B"/>
    <w:rsid w:val="00D82BB2"/>
    <w:rsid w:val="00D82CBC"/>
    <w:rsid w:val="00D82D8F"/>
    <w:rsid w:val="00D82F32"/>
    <w:rsid w:val="00D82F99"/>
    <w:rsid w:val="00D830CB"/>
    <w:rsid w:val="00D8313F"/>
    <w:rsid w:val="00D833C6"/>
    <w:rsid w:val="00D83457"/>
    <w:rsid w:val="00D836AA"/>
    <w:rsid w:val="00D83A9F"/>
    <w:rsid w:val="00D83AEC"/>
    <w:rsid w:val="00D83B7A"/>
    <w:rsid w:val="00D83D16"/>
    <w:rsid w:val="00D83D32"/>
    <w:rsid w:val="00D83E71"/>
    <w:rsid w:val="00D843A9"/>
    <w:rsid w:val="00D8443D"/>
    <w:rsid w:val="00D84679"/>
    <w:rsid w:val="00D8486A"/>
    <w:rsid w:val="00D84C73"/>
    <w:rsid w:val="00D84CC8"/>
    <w:rsid w:val="00D84D23"/>
    <w:rsid w:val="00D84E08"/>
    <w:rsid w:val="00D84EFB"/>
    <w:rsid w:val="00D84F7A"/>
    <w:rsid w:val="00D851C4"/>
    <w:rsid w:val="00D8522D"/>
    <w:rsid w:val="00D85249"/>
    <w:rsid w:val="00D85300"/>
    <w:rsid w:val="00D85759"/>
    <w:rsid w:val="00D858D5"/>
    <w:rsid w:val="00D85964"/>
    <w:rsid w:val="00D85AEE"/>
    <w:rsid w:val="00D85B8A"/>
    <w:rsid w:val="00D85BFD"/>
    <w:rsid w:val="00D85E1F"/>
    <w:rsid w:val="00D85E85"/>
    <w:rsid w:val="00D86031"/>
    <w:rsid w:val="00D86199"/>
    <w:rsid w:val="00D862C6"/>
    <w:rsid w:val="00D86442"/>
    <w:rsid w:val="00D865F6"/>
    <w:rsid w:val="00D86647"/>
    <w:rsid w:val="00D86782"/>
    <w:rsid w:val="00D867A0"/>
    <w:rsid w:val="00D8685E"/>
    <w:rsid w:val="00D86BB4"/>
    <w:rsid w:val="00D86FC5"/>
    <w:rsid w:val="00D87026"/>
    <w:rsid w:val="00D87338"/>
    <w:rsid w:val="00D873AD"/>
    <w:rsid w:val="00D8743F"/>
    <w:rsid w:val="00D874CA"/>
    <w:rsid w:val="00D874CF"/>
    <w:rsid w:val="00D875E5"/>
    <w:rsid w:val="00D876A9"/>
    <w:rsid w:val="00D87708"/>
    <w:rsid w:val="00D877A5"/>
    <w:rsid w:val="00D8784B"/>
    <w:rsid w:val="00D87DB2"/>
    <w:rsid w:val="00D87F9F"/>
    <w:rsid w:val="00D901D9"/>
    <w:rsid w:val="00D90237"/>
    <w:rsid w:val="00D9029B"/>
    <w:rsid w:val="00D902D6"/>
    <w:rsid w:val="00D9036D"/>
    <w:rsid w:val="00D9036F"/>
    <w:rsid w:val="00D9038B"/>
    <w:rsid w:val="00D9047C"/>
    <w:rsid w:val="00D9050A"/>
    <w:rsid w:val="00D90587"/>
    <w:rsid w:val="00D9075B"/>
    <w:rsid w:val="00D90957"/>
    <w:rsid w:val="00D90B0F"/>
    <w:rsid w:val="00D90B53"/>
    <w:rsid w:val="00D90D83"/>
    <w:rsid w:val="00D90F55"/>
    <w:rsid w:val="00D90F71"/>
    <w:rsid w:val="00D9140C"/>
    <w:rsid w:val="00D915D3"/>
    <w:rsid w:val="00D915EB"/>
    <w:rsid w:val="00D916E9"/>
    <w:rsid w:val="00D9179D"/>
    <w:rsid w:val="00D917BC"/>
    <w:rsid w:val="00D918BB"/>
    <w:rsid w:val="00D918F5"/>
    <w:rsid w:val="00D918FF"/>
    <w:rsid w:val="00D91952"/>
    <w:rsid w:val="00D91C4C"/>
    <w:rsid w:val="00D91F6A"/>
    <w:rsid w:val="00D91F7B"/>
    <w:rsid w:val="00D92024"/>
    <w:rsid w:val="00D92060"/>
    <w:rsid w:val="00D92151"/>
    <w:rsid w:val="00D921CF"/>
    <w:rsid w:val="00D921D0"/>
    <w:rsid w:val="00D923B7"/>
    <w:rsid w:val="00D92829"/>
    <w:rsid w:val="00D9298C"/>
    <w:rsid w:val="00D92E0E"/>
    <w:rsid w:val="00D92E80"/>
    <w:rsid w:val="00D92EFC"/>
    <w:rsid w:val="00D930DA"/>
    <w:rsid w:val="00D931FE"/>
    <w:rsid w:val="00D93203"/>
    <w:rsid w:val="00D932A0"/>
    <w:rsid w:val="00D9346F"/>
    <w:rsid w:val="00D9373D"/>
    <w:rsid w:val="00D93D12"/>
    <w:rsid w:val="00D93DB7"/>
    <w:rsid w:val="00D93FFA"/>
    <w:rsid w:val="00D94178"/>
    <w:rsid w:val="00D94249"/>
    <w:rsid w:val="00D942C5"/>
    <w:rsid w:val="00D943B7"/>
    <w:rsid w:val="00D94400"/>
    <w:rsid w:val="00D9449D"/>
    <w:rsid w:val="00D945E1"/>
    <w:rsid w:val="00D9478E"/>
    <w:rsid w:val="00D947D1"/>
    <w:rsid w:val="00D94971"/>
    <w:rsid w:val="00D94AC7"/>
    <w:rsid w:val="00D94F28"/>
    <w:rsid w:val="00D95005"/>
    <w:rsid w:val="00D9515C"/>
    <w:rsid w:val="00D95604"/>
    <w:rsid w:val="00D958C0"/>
    <w:rsid w:val="00D958D7"/>
    <w:rsid w:val="00D95A37"/>
    <w:rsid w:val="00D95C9D"/>
    <w:rsid w:val="00D95DA2"/>
    <w:rsid w:val="00D95DF6"/>
    <w:rsid w:val="00D95FD3"/>
    <w:rsid w:val="00D960A8"/>
    <w:rsid w:val="00D961CF"/>
    <w:rsid w:val="00D9633D"/>
    <w:rsid w:val="00D96350"/>
    <w:rsid w:val="00D96736"/>
    <w:rsid w:val="00D968DC"/>
    <w:rsid w:val="00D96D3E"/>
    <w:rsid w:val="00D96DF1"/>
    <w:rsid w:val="00D96E4D"/>
    <w:rsid w:val="00D96EDA"/>
    <w:rsid w:val="00D96F93"/>
    <w:rsid w:val="00D970B8"/>
    <w:rsid w:val="00D971A8"/>
    <w:rsid w:val="00D97336"/>
    <w:rsid w:val="00D97339"/>
    <w:rsid w:val="00D973D9"/>
    <w:rsid w:val="00D974B2"/>
    <w:rsid w:val="00D97585"/>
    <w:rsid w:val="00D97643"/>
    <w:rsid w:val="00D9773C"/>
    <w:rsid w:val="00D97803"/>
    <w:rsid w:val="00D9786A"/>
    <w:rsid w:val="00D97AB7"/>
    <w:rsid w:val="00D97BA4"/>
    <w:rsid w:val="00D97BC4"/>
    <w:rsid w:val="00D97C1B"/>
    <w:rsid w:val="00D97DA0"/>
    <w:rsid w:val="00D97F7E"/>
    <w:rsid w:val="00D97FA6"/>
    <w:rsid w:val="00D97FD8"/>
    <w:rsid w:val="00D97FE9"/>
    <w:rsid w:val="00DA006A"/>
    <w:rsid w:val="00DA02F9"/>
    <w:rsid w:val="00DA03B3"/>
    <w:rsid w:val="00DA04A1"/>
    <w:rsid w:val="00DA0501"/>
    <w:rsid w:val="00DA0503"/>
    <w:rsid w:val="00DA051A"/>
    <w:rsid w:val="00DA056C"/>
    <w:rsid w:val="00DA061A"/>
    <w:rsid w:val="00DA0656"/>
    <w:rsid w:val="00DA0BCF"/>
    <w:rsid w:val="00DA0D6B"/>
    <w:rsid w:val="00DA0EA0"/>
    <w:rsid w:val="00DA10C5"/>
    <w:rsid w:val="00DA11AF"/>
    <w:rsid w:val="00DA130B"/>
    <w:rsid w:val="00DA1590"/>
    <w:rsid w:val="00DA15CE"/>
    <w:rsid w:val="00DA1883"/>
    <w:rsid w:val="00DA18C8"/>
    <w:rsid w:val="00DA19AC"/>
    <w:rsid w:val="00DA1C75"/>
    <w:rsid w:val="00DA1E76"/>
    <w:rsid w:val="00DA2112"/>
    <w:rsid w:val="00DA2385"/>
    <w:rsid w:val="00DA25CC"/>
    <w:rsid w:val="00DA2956"/>
    <w:rsid w:val="00DA2C71"/>
    <w:rsid w:val="00DA2CBA"/>
    <w:rsid w:val="00DA2CBE"/>
    <w:rsid w:val="00DA2CF4"/>
    <w:rsid w:val="00DA2F54"/>
    <w:rsid w:val="00DA3164"/>
    <w:rsid w:val="00DA3336"/>
    <w:rsid w:val="00DA3363"/>
    <w:rsid w:val="00DA3403"/>
    <w:rsid w:val="00DA347A"/>
    <w:rsid w:val="00DA362F"/>
    <w:rsid w:val="00DA3808"/>
    <w:rsid w:val="00DA38C8"/>
    <w:rsid w:val="00DA38E3"/>
    <w:rsid w:val="00DA3967"/>
    <w:rsid w:val="00DA399E"/>
    <w:rsid w:val="00DA3A5C"/>
    <w:rsid w:val="00DA3D06"/>
    <w:rsid w:val="00DA3D66"/>
    <w:rsid w:val="00DA4122"/>
    <w:rsid w:val="00DA419F"/>
    <w:rsid w:val="00DA42C4"/>
    <w:rsid w:val="00DA43EA"/>
    <w:rsid w:val="00DA44CC"/>
    <w:rsid w:val="00DA45C3"/>
    <w:rsid w:val="00DA463C"/>
    <w:rsid w:val="00DA4645"/>
    <w:rsid w:val="00DA4719"/>
    <w:rsid w:val="00DA472A"/>
    <w:rsid w:val="00DA4864"/>
    <w:rsid w:val="00DA486A"/>
    <w:rsid w:val="00DA487A"/>
    <w:rsid w:val="00DA4A52"/>
    <w:rsid w:val="00DA4AB7"/>
    <w:rsid w:val="00DA4EBF"/>
    <w:rsid w:val="00DA532C"/>
    <w:rsid w:val="00DA5391"/>
    <w:rsid w:val="00DA540A"/>
    <w:rsid w:val="00DA5505"/>
    <w:rsid w:val="00DA5868"/>
    <w:rsid w:val="00DA5947"/>
    <w:rsid w:val="00DA5A35"/>
    <w:rsid w:val="00DA5B38"/>
    <w:rsid w:val="00DA5E2D"/>
    <w:rsid w:val="00DA60A6"/>
    <w:rsid w:val="00DA614F"/>
    <w:rsid w:val="00DA61BE"/>
    <w:rsid w:val="00DA61F7"/>
    <w:rsid w:val="00DA620A"/>
    <w:rsid w:val="00DA6317"/>
    <w:rsid w:val="00DA64E7"/>
    <w:rsid w:val="00DA67EC"/>
    <w:rsid w:val="00DA6862"/>
    <w:rsid w:val="00DA6B9D"/>
    <w:rsid w:val="00DA6F0C"/>
    <w:rsid w:val="00DA7394"/>
    <w:rsid w:val="00DA7545"/>
    <w:rsid w:val="00DA77D1"/>
    <w:rsid w:val="00DA77ED"/>
    <w:rsid w:val="00DA7899"/>
    <w:rsid w:val="00DA7D8A"/>
    <w:rsid w:val="00DA7F76"/>
    <w:rsid w:val="00DA7F80"/>
    <w:rsid w:val="00DA7FEB"/>
    <w:rsid w:val="00DB035B"/>
    <w:rsid w:val="00DB041E"/>
    <w:rsid w:val="00DB064A"/>
    <w:rsid w:val="00DB075B"/>
    <w:rsid w:val="00DB08F0"/>
    <w:rsid w:val="00DB0922"/>
    <w:rsid w:val="00DB0A49"/>
    <w:rsid w:val="00DB0A66"/>
    <w:rsid w:val="00DB0AF8"/>
    <w:rsid w:val="00DB0D9D"/>
    <w:rsid w:val="00DB0FB2"/>
    <w:rsid w:val="00DB0FBE"/>
    <w:rsid w:val="00DB1001"/>
    <w:rsid w:val="00DB10C9"/>
    <w:rsid w:val="00DB113A"/>
    <w:rsid w:val="00DB1275"/>
    <w:rsid w:val="00DB129D"/>
    <w:rsid w:val="00DB147F"/>
    <w:rsid w:val="00DB14A5"/>
    <w:rsid w:val="00DB1579"/>
    <w:rsid w:val="00DB1CE0"/>
    <w:rsid w:val="00DB1E76"/>
    <w:rsid w:val="00DB1F44"/>
    <w:rsid w:val="00DB2020"/>
    <w:rsid w:val="00DB20DB"/>
    <w:rsid w:val="00DB2194"/>
    <w:rsid w:val="00DB26DA"/>
    <w:rsid w:val="00DB2760"/>
    <w:rsid w:val="00DB2957"/>
    <w:rsid w:val="00DB2B0F"/>
    <w:rsid w:val="00DB2F2C"/>
    <w:rsid w:val="00DB2F2F"/>
    <w:rsid w:val="00DB2FA7"/>
    <w:rsid w:val="00DB304B"/>
    <w:rsid w:val="00DB3224"/>
    <w:rsid w:val="00DB3663"/>
    <w:rsid w:val="00DB36C1"/>
    <w:rsid w:val="00DB3708"/>
    <w:rsid w:val="00DB374C"/>
    <w:rsid w:val="00DB37CC"/>
    <w:rsid w:val="00DB3CEC"/>
    <w:rsid w:val="00DB3D2D"/>
    <w:rsid w:val="00DB3DD5"/>
    <w:rsid w:val="00DB3E37"/>
    <w:rsid w:val="00DB3EFC"/>
    <w:rsid w:val="00DB3F8E"/>
    <w:rsid w:val="00DB403B"/>
    <w:rsid w:val="00DB40AE"/>
    <w:rsid w:val="00DB41D7"/>
    <w:rsid w:val="00DB44C3"/>
    <w:rsid w:val="00DB456A"/>
    <w:rsid w:val="00DB476C"/>
    <w:rsid w:val="00DB4810"/>
    <w:rsid w:val="00DB48B0"/>
    <w:rsid w:val="00DB498B"/>
    <w:rsid w:val="00DB4F34"/>
    <w:rsid w:val="00DB4FE5"/>
    <w:rsid w:val="00DB5003"/>
    <w:rsid w:val="00DB5150"/>
    <w:rsid w:val="00DB516C"/>
    <w:rsid w:val="00DB5370"/>
    <w:rsid w:val="00DB53F9"/>
    <w:rsid w:val="00DB5510"/>
    <w:rsid w:val="00DB56E8"/>
    <w:rsid w:val="00DB59AC"/>
    <w:rsid w:val="00DB5A53"/>
    <w:rsid w:val="00DB5E14"/>
    <w:rsid w:val="00DB5E33"/>
    <w:rsid w:val="00DB5F23"/>
    <w:rsid w:val="00DB5F96"/>
    <w:rsid w:val="00DB614E"/>
    <w:rsid w:val="00DB64FD"/>
    <w:rsid w:val="00DB6583"/>
    <w:rsid w:val="00DB6925"/>
    <w:rsid w:val="00DB6CD5"/>
    <w:rsid w:val="00DB6E60"/>
    <w:rsid w:val="00DB6EC7"/>
    <w:rsid w:val="00DB6F95"/>
    <w:rsid w:val="00DB7011"/>
    <w:rsid w:val="00DB70FA"/>
    <w:rsid w:val="00DB7150"/>
    <w:rsid w:val="00DB71CD"/>
    <w:rsid w:val="00DB72DB"/>
    <w:rsid w:val="00DB75F6"/>
    <w:rsid w:val="00DB787D"/>
    <w:rsid w:val="00DB7903"/>
    <w:rsid w:val="00DB7A4C"/>
    <w:rsid w:val="00DB7CF3"/>
    <w:rsid w:val="00DB7D8E"/>
    <w:rsid w:val="00DB7DDD"/>
    <w:rsid w:val="00DC0172"/>
    <w:rsid w:val="00DC0576"/>
    <w:rsid w:val="00DC0959"/>
    <w:rsid w:val="00DC09E4"/>
    <w:rsid w:val="00DC0ECD"/>
    <w:rsid w:val="00DC0FF2"/>
    <w:rsid w:val="00DC1159"/>
    <w:rsid w:val="00DC1326"/>
    <w:rsid w:val="00DC1592"/>
    <w:rsid w:val="00DC15B9"/>
    <w:rsid w:val="00DC1865"/>
    <w:rsid w:val="00DC1971"/>
    <w:rsid w:val="00DC1C10"/>
    <w:rsid w:val="00DC1C21"/>
    <w:rsid w:val="00DC1D6C"/>
    <w:rsid w:val="00DC216A"/>
    <w:rsid w:val="00DC2181"/>
    <w:rsid w:val="00DC227E"/>
    <w:rsid w:val="00DC2311"/>
    <w:rsid w:val="00DC2332"/>
    <w:rsid w:val="00DC2420"/>
    <w:rsid w:val="00DC2448"/>
    <w:rsid w:val="00DC260B"/>
    <w:rsid w:val="00DC270E"/>
    <w:rsid w:val="00DC2C38"/>
    <w:rsid w:val="00DC2C76"/>
    <w:rsid w:val="00DC2E71"/>
    <w:rsid w:val="00DC30DF"/>
    <w:rsid w:val="00DC31E1"/>
    <w:rsid w:val="00DC32DA"/>
    <w:rsid w:val="00DC3353"/>
    <w:rsid w:val="00DC351B"/>
    <w:rsid w:val="00DC360B"/>
    <w:rsid w:val="00DC363E"/>
    <w:rsid w:val="00DC3844"/>
    <w:rsid w:val="00DC38D0"/>
    <w:rsid w:val="00DC3927"/>
    <w:rsid w:val="00DC3C17"/>
    <w:rsid w:val="00DC3C47"/>
    <w:rsid w:val="00DC3DEA"/>
    <w:rsid w:val="00DC4246"/>
    <w:rsid w:val="00DC4347"/>
    <w:rsid w:val="00DC4463"/>
    <w:rsid w:val="00DC4627"/>
    <w:rsid w:val="00DC468E"/>
    <w:rsid w:val="00DC4703"/>
    <w:rsid w:val="00DC47F7"/>
    <w:rsid w:val="00DC4953"/>
    <w:rsid w:val="00DC495E"/>
    <w:rsid w:val="00DC4A5A"/>
    <w:rsid w:val="00DC4A5C"/>
    <w:rsid w:val="00DC4CD0"/>
    <w:rsid w:val="00DC501E"/>
    <w:rsid w:val="00DC503B"/>
    <w:rsid w:val="00DC5076"/>
    <w:rsid w:val="00DC509E"/>
    <w:rsid w:val="00DC50CE"/>
    <w:rsid w:val="00DC52E5"/>
    <w:rsid w:val="00DC5354"/>
    <w:rsid w:val="00DC539E"/>
    <w:rsid w:val="00DC53FE"/>
    <w:rsid w:val="00DC57E3"/>
    <w:rsid w:val="00DC590B"/>
    <w:rsid w:val="00DC59A9"/>
    <w:rsid w:val="00DC5AB1"/>
    <w:rsid w:val="00DC5B15"/>
    <w:rsid w:val="00DC5C73"/>
    <w:rsid w:val="00DC5E12"/>
    <w:rsid w:val="00DC6493"/>
    <w:rsid w:val="00DC675D"/>
    <w:rsid w:val="00DC6829"/>
    <w:rsid w:val="00DC6A48"/>
    <w:rsid w:val="00DC6AF2"/>
    <w:rsid w:val="00DC6B91"/>
    <w:rsid w:val="00DC6BC1"/>
    <w:rsid w:val="00DC6D8E"/>
    <w:rsid w:val="00DC6DD2"/>
    <w:rsid w:val="00DC7087"/>
    <w:rsid w:val="00DC7142"/>
    <w:rsid w:val="00DC7313"/>
    <w:rsid w:val="00DC77EA"/>
    <w:rsid w:val="00DC7806"/>
    <w:rsid w:val="00DC7C5E"/>
    <w:rsid w:val="00DC7CDC"/>
    <w:rsid w:val="00DC7CFC"/>
    <w:rsid w:val="00DC7EF7"/>
    <w:rsid w:val="00DC7F49"/>
    <w:rsid w:val="00DC7F7B"/>
    <w:rsid w:val="00DD005B"/>
    <w:rsid w:val="00DD005D"/>
    <w:rsid w:val="00DD0074"/>
    <w:rsid w:val="00DD0092"/>
    <w:rsid w:val="00DD0217"/>
    <w:rsid w:val="00DD0259"/>
    <w:rsid w:val="00DD0556"/>
    <w:rsid w:val="00DD05EF"/>
    <w:rsid w:val="00DD064C"/>
    <w:rsid w:val="00DD081B"/>
    <w:rsid w:val="00DD0838"/>
    <w:rsid w:val="00DD098C"/>
    <w:rsid w:val="00DD09D8"/>
    <w:rsid w:val="00DD0BF7"/>
    <w:rsid w:val="00DD0E9F"/>
    <w:rsid w:val="00DD0F2B"/>
    <w:rsid w:val="00DD0F6A"/>
    <w:rsid w:val="00DD0F6F"/>
    <w:rsid w:val="00DD1016"/>
    <w:rsid w:val="00DD1217"/>
    <w:rsid w:val="00DD14EA"/>
    <w:rsid w:val="00DD1772"/>
    <w:rsid w:val="00DD1C1E"/>
    <w:rsid w:val="00DD1D0E"/>
    <w:rsid w:val="00DD1EA1"/>
    <w:rsid w:val="00DD1EA7"/>
    <w:rsid w:val="00DD1ED1"/>
    <w:rsid w:val="00DD1F33"/>
    <w:rsid w:val="00DD1FC0"/>
    <w:rsid w:val="00DD20EA"/>
    <w:rsid w:val="00DD2166"/>
    <w:rsid w:val="00DD2217"/>
    <w:rsid w:val="00DD22A5"/>
    <w:rsid w:val="00DD24F8"/>
    <w:rsid w:val="00DD2530"/>
    <w:rsid w:val="00DD2841"/>
    <w:rsid w:val="00DD2896"/>
    <w:rsid w:val="00DD294A"/>
    <w:rsid w:val="00DD2CFC"/>
    <w:rsid w:val="00DD2D6E"/>
    <w:rsid w:val="00DD2F16"/>
    <w:rsid w:val="00DD2F29"/>
    <w:rsid w:val="00DD319E"/>
    <w:rsid w:val="00DD33EF"/>
    <w:rsid w:val="00DD34FF"/>
    <w:rsid w:val="00DD350F"/>
    <w:rsid w:val="00DD37AC"/>
    <w:rsid w:val="00DD37D3"/>
    <w:rsid w:val="00DD3F8B"/>
    <w:rsid w:val="00DD4360"/>
    <w:rsid w:val="00DD4381"/>
    <w:rsid w:val="00DD4438"/>
    <w:rsid w:val="00DD458C"/>
    <w:rsid w:val="00DD463F"/>
    <w:rsid w:val="00DD4726"/>
    <w:rsid w:val="00DD47DA"/>
    <w:rsid w:val="00DD4AC5"/>
    <w:rsid w:val="00DD4E58"/>
    <w:rsid w:val="00DD4F2B"/>
    <w:rsid w:val="00DD4F36"/>
    <w:rsid w:val="00DD4F5C"/>
    <w:rsid w:val="00DD4F68"/>
    <w:rsid w:val="00DD5006"/>
    <w:rsid w:val="00DD5171"/>
    <w:rsid w:val="00DD5256"/>
    <w:rsid w:val="00DD533E"/>
    <w:rsid w:val="00DD535A"/>
    <w:rsid w:val="00DD5417"/>
    <w:rsid w:val="00DD55C1"/>
    <w:rsid w:val="00DD573E"/>
    <w:rsid w:val="00DD588C"/>
    <w:rsid w:val="00DD589C"/>
    <w:rsid w:val="00DD591A"/>
    <w:rsid w:val="00DD59C7"/>
    <w:rsid w:val="00DD5B62"/>
    <w:rsid w:val="00DD5D80"/>
    <w:rsid w:val="00DD5E08"/>
    <w:rsid w:val="00DD6112"/>
    <w:rsid w:val="00DD62BA"/>
    <w:rsid w:val="00DD631D"/>
    <w:rsid w:val="00DD64F0"/>
    <w:rsid w:val="00DD65E6"/>
    <w:rsid w:val="00DD66E6"/>
    <w:rsid w:val="00DD6784"/>
    <w:rsid w:val="00DD67EB"/>
    <w:rsid w:val="00DD6AB4"/>
    <w:rsid w:val="00DD6BF7"/>
    <w:rsid w:val="00DD6D60"/>
    <w:rsid w:val="00DD6DA3"/>
    <w:rsid w:val="00DD6E83"/>
    <w:rsid w:val="00DD717E"/>
    <w:rsid w:val="00DD71B6"/>
    <w:rsid w:val="00DD7241"/>
    <w:rsid w:val="00DD744D"/>
    <w:rsid w:val="00DD75DD"/>
    <w:rsid w:val="00DD7732"/>
    <w:rsid w:val="00DD78C3"/>
    <w:rsid w:val="00DD7A67"/>
    <w:rsid w:val="00DD7B26"/>
    <w:rsid w:val="00DD7BFE"/>
    <w:rsid w:val="00DD7D2B"/>
    <w:rsid w:val="00DD7D6D"/>
    <w:rsid w:val="00DD7EB1"/>
    <w:rsid w:val="00DD7EF2"/>
    <w:rsid w:val="00DE01AE"/>
    <w:rsid w:val="00DE02B6"/>
    <w:rsid w:val="00DE02C0"/>
    <w:rsid w:val="00DE0439"/>
    <w:rsid w:val="00DE0515"/>
    <w:rsid w:val="00DE0651"/>
    <w:rsid w:val="00DE06ED"/>
    <w:rsid w:val="00DE0808"/>
    <w:rsid w:val="00DE0A63"/>
    <w:rsid w:val="00DE0C0A"/>
    <w:rsid w:val="00DE0F4E"/>
    <w:rsid w:val="00DE10B7"/>
    <w:rsid w:val="00DE1182"/>
    <w:rsid w:val="00DE1192"/>
    <w:rsid w:val="00DE123C"/>
    <w:rsid w:val="00DE1404"/>
    <w:rsid w:val="00DE146F"/>
    <w:rsid w:val="00DE14FB"/>
    <w:rsid w:val="00DE15FA"/>
    <w:rsid w:val="00DE15FD"/>
    <w:rsid w:val="00DE19A0"/>
    <w:rsid w:val="00DE1EB6"/>
    <w:rsid w:val="00DE2230"/>
    <w:rsid w:val="00DE23DF"/>
    <w:rsid w:val="00DE23EB"/>
    <w:rsid w:val="00DE2544"/>
    <w:rsid w:val="00DE2587"/>
    <w:rsid w:val="00DE25E3"/>
    <w:rsid w:val="00DE2675"/>
    <w:rsid w:val="00DE2A13"/>
    <w:rsid w:val="00DE2A1A"/>
    <w:rsid w:val="00DE2B58"/>
    <w:rsid w:val="00DE2B71"/>
    <w:rsid w:val="00DE2D9D"/>
    <w:rsid w:val="00DE306D"/>
    <w:rsid w:val="00DE3103"/>
    <w:rsid w:val="00DE3151"/>
    <w:rsid w:val="00DE356D"/>
    <w:rsid w:val="00DE35F9"/>
    <w:rsid w:val="00DE376B"/>
    <w:rsid w:val="00DE37FF"/>
    <w:rsid w:val="00DE3930"/>
    <w:rsid w:val="00DE39AA"/>
    <w:rsid w:val="00DE3A6D"/>
    <w:rsid w:val="00DE3AC7"/>
    <w:rsid w:val="00DE3C99"/>
    <w:rsid w:val="00DE3F8A"/>
    <w:rsid w:val="00DE407F"/>
    <w:rsid w:val="00DE40AA"/>
    <w:rsid w:val="00DE40CF"/>
    <w:rsid w:val="00DE469B"/>
    <w:rsid w:val="00DE46B5"/>
    <w:rsid w:val="00DE46C8"/>
    <w:rsid w:val="00DE4771"/>
    <w:rsid w:val="00DE47E0"/>
    <w:rsid w:val="00DE484F"/>
    <w:rsid w:val="00DE4AB5"/>
    <w:rsid w:val="00DE4BB4"/>
    <w:rsid w:val="00DE506D"/>
    <w:rsid w:val="00DE515B"/>
    <w:rsid w:val="00DE52AB"/>
    <w:rsid w:val="00DE52F0"/>
    <w:rsid w:val="00DE54B8"/>
    <w:rsid w:val="00DE56A0"/>
    <w:rsid w:val="00DE5767"/>
    <w:rsid w:val="00DE5796"/>
    <w:rsid w:val="00DE57F1"/>
    <w:rsid w:val="00DE59C6"/>
    <w:rsid w:val="00DE5AA8"/>
    <w:rsid w:val="00DE5E2C"/>
    <w:rsid w:val="00DE601D"/>
    <w:rsid w:val="00DE6147"/>
    <w:rsid w:val="00DE61A0"/>
    <w:rsid w:val="00DE61B1"/>
    <w:rsid w:val="00DE6379"/>
    <w:rsid w:val="00DE63CB"/>
    <w:rsid w:val="00DE64D3"/>
    <w:rsid w:val="00DE6754"/>
    <w:rsid w:val="00DE6901"/>
    <w:rsid w:val="00DE6908"/>
    <w:rsid w:val="00DE6958"/>
    <w:rsid w:val="00DE69B0"/>
    <w:rsid w:val="00DE6A7C"/>
    <w:rsid w:val="00DE6DBC"/>
    <w:rsid w:val="00DE6F24"/>
    <w:rsid w:val="00DE6F75"/>
    <w:rsid w:val="00DE6F9B"/>
    <w:rsid w:val="00DE751C"/>
    <w:rsid w:val="00DE77B1"/>
    <w:rsid w:val="00DE77C0"/>
    <w:rsid w:val="00DE7B3F"/>
    <w:rsid w:val="00DE7CBA"/>
    <w:rsid w:val="00DE7CC4"/>
    <w:rsid w:val="00DE7E63"/>
    <w:rsid w:val="00DE7EFC"/>
    <w:rsid w:val="00DF0063"/>
    <w:rsid w:val="00DF0112"/>
    <w:rsid w:val="00DF037D"/>
    <w:rsid w:val="00DF04C4"/>
    <w:rsid w:val="00DF0541"/>
    <w:rsid w:val="00DF0654"/>
    <w:rsid w:val="00DF07C3"/>
    <w:rsid w:val="00DF08A4"/>
    <w:rsid w:val="00DF08F7"/>
    <w:rsid w:val="00DF0B61"/>
    <w:rsid w:val="00DF0D9B"/>
    <w:rsid w:val="00DF1178"/>
    <w:rsid w:val="00DF1207"/>
    <w:rsid w:val="00DF12C8"/>
    <w:rsid w:val="00DF14A8"/>
    <w:rsid w:val="00DF1559"/>
    <w:rsid w:val="00DF1580"/>
    <w:rsid w:val="00DF16B3"/>
    <w:rsid w:val="00DF16B4"/>
    <w:rsid w:val="00DF170C"/>
    <w:rsid w:val="00DF176D"/>
    <w:rsid w:val="00DF185A"/>
    <w:rsid w:val="00DF1925"/>
    <w:rsid w:val="00DF1A67"/>
    <w:rsid w:val="00DF1B40"/>
    <w:rsid w:val="00DF1FB1"/>
    <w:rsid w:val="00DF1FD8"/>
    <w:rsid w:val="00DF2189"/>
    <w:rsid w:val="00DF219A"/>
    <w:rsid w:val="00DF2291"/>
    <w:rsid w:val="00DF22E5"/>
    <w:rsid w:val="00DF22EB"/>
    <w:rsid w:val="00DF2415"/>
    <w:rsid w:val="00DF24AF"/>
    <w:rsid w:val="00DF2637"/>
    <w:rsid w:val="00DF2690"/>
    <w:rsid w:val="00DF26FE"/>
    <w:rsid w:val="00DF27AB"/>
    <w:rsid w:val="00DF28FE"/>
    <w:rsid w:val="00DF2937"/>
    <w:rsid w:val="00DF29A1"/>
    <w:rsid w:val="00DF2AB9"/>
    <w:rsid w:val="00DF2AF5"/>
    <w:rsid w:val="00DF2C43"/>
    <w:rsid w:val="00DF2CAB"/>
    <w:rsid w:val="00DF2CB4"/>
    <w:rsid w:val="00DF2D41"/>
    <w:rsid w:val="00DF2FF5"/>
    <w:rsid w:val="00DF3416"/>
    <w:rsid w:val="00DF347A"/>
    <w:rsid w:val="00DF373C"/>
    <w:rsid w:val="00DF3822"/>
    <w:rsid w:val="00DF3A57"/>
    <w:rsid w:val="00DF3B5C"/>
    <w:rsid w:val="00DF3C7A"/>
    <w:rsid w:val="00DF3CB3"/>
    <w:rsid w:val="00DF3F6D"/>
    <w:rsid w:val="00DF3FDF"/>
    <w:rsid w:val="00DF40CE"/>
    <w:rsid w:val="00DF418F"/>
    <w:rsid w:val="00DF45C4"/>
    <w:rsid w:val="00DF481F"/>
    <w:rsid w:val="00DF494F"/>
    <w:rsid w:val="00DF4BD0"/>
    <w:rsid w:val="00DF4C22"/>
    <w:rsid w:val="00DF4CE4"/>
    <w:rsid w:val="00DF4D09"/>
    <w:rsid w:val="00DF4DB6"/>
    <w:rsid w:val="00DF51A7"/>
    <w:rsid w:val="00DF54DE"/>
    <w:rsid w:val="00DF554B"/>
    <w:rsid w:val="00DF5560"/>
    <w:rsid w:val="00DF5925"/>
    <w:rsid w:val="00DF5A2B"/>
    <w:rsid w:val="00DF5B60"/>
    <w:rsid w:val="00DF5C41"/>
    <w:rsid w:val="00DF5DC9"/>
    <w:rsid w:val="00DF5EAE"/>
    <w:rsid w:val="00DF5FB0"/>
    <w:rsid w:val="00DF5FF8"/>
    <w:rsid w:val="00DF651B"/>
    <w:rsid w:val="00DF6582"/>
    <w:rsid w:val="00DF674E"/>
    <w:rsid w:val="00DF6790"/>
    <w:rsid w:val="00DF6920"/>
    <w:rsid w:val="00DF6A31"/>
    <w:rsid w:val="00DF6A61"/>
    <w:rsid w:val="00DF6B7E"/>
    <w:rsid w:val="00DF6CB9"/>
    <w:rsid w:val="00DF7031"/>
    <w:rsid w:val="00DF70A8"/>
    <w:rsid w:val="00DF72C6"/>
    <w:rsid w:val="00DF7477"/>
    <w:rsid w:val="00DF748F"/>
    <w:rsid w:val="00DF76A7"/>
    <w:rsid w:val="00DF7921"/>
    <w:rsid w:val="00DF7D33"/>
    <w:rsid w:val="00DF7E3A"/>
    <w:rsid w:val="00E00204"/>
    <w:rsid w:val="00E00640"/>
    <w:rsid w:val="00E007CB"/>
    <w:rsid w:val="00E00804"/>
    <w:rsid w:val="00E008BA"/>
    <w:rsid w:val="00E0090F"/>
    <w:rsid w:val="00E00977"/>
    <w:rsid w:val="00E00E20"/>
    <w:rsid w:val="00E00E8C"/>
    <w:rsid w:val="00E0100D"/>
    <w:rsid w:val="00E0115B"/>
    <w:rsid w:val="00E012E3"/>
    <w:rsid w:val="00E014C0"/>
    <w:rsid w:val="00E014C1"/>
    <w:rsid w:val="00E01758"/>
    <w:rsid w:val="00E01B32"/>
    <w:rsid w:val="00E01CB3"/>
    <w:rsid w:val="00E01DAA"/>
    <w:rsid w:val="00E01DC0"/>
    <w:rsid w:val="00E01E5E"/>
    <w:rsid w:val="00E021CE"/>
    <w:rsid w:val="00E02675"/>
    <w:rsid w:val="00E026EB"/>
    <w:rsid w:val="00E0294B"/>
    <w:rsid w:val="00E029EA"/>
    <w:rsid w:val="00E02F1E"/>
    <w:rsid w:val="00E02F2C"/>
    <w:rsid w:val="00E02FC1"/>
    <w:rsid w:val="00E0323A"/>
    <w:rsid w:val="00E03411"/>
    <w:rsid w:val="00E03482"/>
    <w:rsid w:val="00E03486"/>
    <w:rsid w:val="00E0358E"/>
    <w:rsid w:val="00E035B8"/>
    <w:rsid w:val="00E03742"/>
    <w:rsid w:val="00E03834"/>
    <w:rsid w:val="00E03AB4"/>
    <w:rsid w:val="00E03BDF"/>
    <w:rsid w:val="00E03BE9"/>
    <w:rsid w:val="00E03D2C"/>
    <w:rsid w:val="00E03D6A"/>
    <w:rsid w:val="00E03DC2"/>
    <w:rsid w:val="00E03DF9"/>
    <w:rsid w:val="00E03F91"/>
    <w:rsid w:val="00E03FA3"/>
    <w:rsid w:val="00E040C8"/>
    <w:rsid w:val="00E04139"/>
    <w:rsid w:val="00E044FF"/>
    <w:rsid w:val="00E04500"/>
    <w:rsid w:val="00E045F1"/>
    <w:rsid w:val="00E046A0"/>
    <w:rsid w:val="00E04793"/>
    <w:rsid w:val="00E04A41"/>
    <w:rsid w:val="00E04AFF"/>
    <w:rsid w:val="00E04DF7"/>
    <w:rsid w:val="00E04E25"/>
    <w:rsid w:val="00E04FC8"/>
    <w:rsid w:val="00E05206"/>
    <w:rsid w:val="00E054F3"/>
    <w:rsid w:val="00E0556A"/>
    <w:rsid w:val="00E055AA"/>
    <w:rsid w:val="00E055BE"/>
    <w:rsid w:val="00E05743"/>
    <w:rsid w:val="00E05877"/>
    <w:rsid w:val="00E058E7"/>
    <w:rsid w:val="00E05CF1"/>
    <w:rsid w:val="00E05D51"/>
    <w:rsid w:val="00E05DE0"/>
    <w:rsid w:val="00E062D3"/>
    <w:rsid w:val="00E06576"/>
    <w:rsid w:val="00E066C1"/>
    <w:rsid w:val="00E067E1"/>
    <w:rsid w:val="00E069F8"/>
    <w:rsid w:val="00E06ABF"/>
    <w:rsid w:val="00E06B9D"/>
    <w:rsid w:val="00E06F18"/>
    <w:rsid w:val="00E06F91"/>
    <w:rsid w:val="00E06FF8"/>
    <w:rsid w:val="00E07029"/>
    <w:rsid w:val="00E07114"/>
    <w:rsid w:val="00E07168"/>
    <w:rsid w:val="00E0717C"/>
    <w:rsid w:val="00E07576"/>
    <w:rsid w:val="00E0780C"/>
    <w:rsid w:val="00E07A5B"/>
    <w:rsid w:val="00E07A8F"/>
    <w:rsid w:val="00E07A91"/>
    <w:rsid w:val="00E07B60"/>
    <w:rsid w:val="00E07C5F"/>
    <w:rsid w:val="00E07F11"/>
    <w:rsid w:val="00E0CE06"/>
    <w:rsid w:val="00E103DE"/>
    <w:rsid w:val="00E1051B"/>
    <w:rsid w:val="00E10887"/>
    <w:rsid w:val="00E108EC"/>
    <w:rsid w:val="00E10925"/>
    <w:rsid w:val="00E10C16"/>
    <w:rsid w:val="00E10C69"/>
    <w:rsid w:val="00E10DA2"/>
    <w:rsid w:val="00E10EC1"/>
    <w:rsid w:val="00E10F58"/>
    <w:rsid w:val="00E11187"/>
    <w:rsid w:val="00E1118F"/>
    <w:rsid w:val="00E1134A"/>
    <w:rsid w:val="00E1139F"/>
    <w:rsid w:val="00E11677"/>
    <w:rsid w:val="00E11732"/>
    <w:rsid w:val="00E11750"/>
    <w:rsid w:val="00E1178E"/>
    <w:rsid w:val="00E11802"/>
    <w:rsid w:val="00E11835"/>
    <w:rsid w:val="00E11836"/>
    <w:rsid w:val="00E11958"/>
    <w:rsid w:val="00E120AA"/>
    <w:rsid w:val="00E12127"/>
    <w:rsid w:val="00E12160"/>
    <w:rsid w:val="00E1218E"/>
    <w:rsid w:val="00E12253"/>
    <w:rsid w:val="00E12276"/>
    <w:rsid w:val="00E1233A"/>
    <w:rsid w:val="00E1272F"/>
    <w:rsid w:val="00E127B5"/>
    <w:rsid w:val="00E12D9B"/>
    <w:rsid w:val="00E12F06"/>
    <w:rsid w:val="00E13090"/>
    <w:rsid w:val="00E13147"/>
    <w:rsid w:val="00E132CF"/>
    <w:rsid w:val="00E136A7"/>
    <w:rsid w:val="00E13744"/>
    <w:rsid w:val="00E13834"/>
    <w:rsid w:val="00E13999"/>
    <w:rsid w:val="00E139FB"/>
    <w:rsid w:val="00E13CA4"/>
    <w:rsid w:val="00E13E87"/>
    <w:rsid w:val="00E13F3C"/>
    <w:rsid w:val="00E13FBE"/>
    <w:rsid w:val="00E14153"/>
    <w:rsid w:val="00E14166"/>
    <w:rsid w:val="00E1419D"/>
    <w:rsid w:val="00E141AE"/>
    <w:rsid w:val="00E1435B"/>
    <w:rsid w:val="00E145F1"/>
    <w:rsid w:val="00E14617"/>
    <w:rsid w:val="00E148BD"/>
    <w:rsid w:val="00E1491E"/>
    <w:rsid w:val="00E14F13"/>
    <w:rsid w:val="00E15316"/>
    <w:rsid w:val="00E15401"/>
    <w:rsid w:val="00E1545B"/>
    <w:rsid w:val="00E15755"/>
    <w:rsid w:val="00E157F8"/>
    <w:rsid w:val="00E1584A"/>
    <w:rsid w:val="00E1587D"/>
    <w:rsid w:val="00E15910"/>
    <w:rsid w:val="00E15A9F"/>
    <w:rsid w:val="00E15B02"/>
    <w:rsid w:val="00E15B4B"/>
    <w:rsid w:val="00E15C29"/>
    <w:rsid w:val="00E15CB5"/>
    <w:rsid w:val="00E15EA2"/>
    <w:rsid w:val="00E16104"/>
    <w:rsid w:val="00E16186"/>
    <w:rsid w:val="00E1619F"/>
    <w:rsid w:val="00E161D6"/>
    <w:rsid w:val="00E1632C"/>
    <w:rsid w:val="00E1639F"/>
    <w:rsid w:val="00E16749"/>
    <w:rsid w:val="00E168A2"/>
    <w:rsid w:val="00E168FF"/>
    <w:rsid w:val="00E16C9A"/>
    <w:rsid w:val="00E16CA9"/>
    <w:rsid w:val="00E16CE5"/>
    <w:rsid w:val="00E16EF9"/>
    <w:rsid w:val="00E17288"/>
    <w:rsid w:val="00E17312"/>
    <w:rsid w:val="00E1731C"/>
    <w:rsid w:val="00E174A4"/>
    <w:rsid w:val="00E174C5"/>
    <w:rsid w:val="00E174EF"/>
    <w:rsid w:val="00E17901"/>
    <w:rsid w:val="00E17934"/>
    <w:rsid w:val="00E17961"/>
    <w:rsid w:val="00E17ACF"/>
    <w:rsid w:val="00E17BDC"/>
    <w:rsid w:val="00E17E6B"/>
    <w:rsid w:val="00E202C0"/>
    <w:rsid w:val="00E204F8"/>
    <w:rsid w:val="00E206CC"/>
    <w:rsid w:val="00E206D9"/>
    <w:rsid w:val="00E207B3"/>
    <w:rsid w:val="00E209D2"/>
    <w:rsid w:val="00E20EBA"/>
    <w:rsid w:val="00E20F6B"/>
    <w:rsid w:val="00E20FA6"/>
    <w:rsid w:val="00E21280"/>
    <w:rsid w:val="00E2142A"/>
    <w:rsid w:val="00E21515"/>
    <w:rsid w:val="00E21634"/>
    <w:rsid w:val="00E216F0"/>
    <w:rsid w:val="00E21720"/>
    <w:rsid w:val="00E2185E"/>
    <w:rsid w:val="00E21BB9"/>
    <w:rsid w:val="00E21CE8"/>
    <w:rsid w:val="00E21D10"/>
    <w:rsid w:val="00E21EE8"/>
    <w:rsid w:val="00E21F3A"/>
    <w:rsid w:val="00E21F53"/>
    <w:rsid w:val="00E2205A"/>
    <w:rsid w:val="00E22075"/>
    <w:rsid w:val="00E22126"/>
    <w:rsid w:val="00E223AA"/>
    <w:rsid w:val="00E2260A"/>
    <w:rsid w:val="00E226FC"/>
    <w:rsid w:val="00E22737"/>
    <w:rsid w:val="00E2282E"/>
    <w:rsid w:val="00E22846"/>
    <w:rsid w:val="00E2293C"/>
    <w:rsid w:val="00E22B44"/>
    <w:rsid w:val="00E22CCE"/>
    <w:rsid w:val="00E22F3A"/>
    <w:rsid w:val="00E2300A"/>
    <w:rsid w:val="00E23074"/>
    <w:rsid w:val="00E2318E"/>
    <w:rsid w:val="00E23294"/>
    <w:rsid w:val="00E23436"/>
    <w:rsid w:val="00E23548"/>
    <w:rsid w:val="00E23710"/>
    <w:rsid w:val="00E23820"/>
    <w:rsid w:val="00E239B5"/>
    <w:rsid w:val="00E24060"/>
    <w:rsid w:val="00E24416"/>
    <w:rsid w:val="00E2454C"/>
    <w:rsid w:val="00E24563"/>
    <w:rsid w:val="00E245CC"/>
    <w:rsid w:val="00E2482E"/>
    <w:rsid w:val="00E24863"/>
    <w:rsid w:val="00E24877"/>
    <w:rsid w:val="00E24879"/>
    <w:rsid w:val="00E24887"/>
    <w:rsid w:val="00E24AB2"/>
    <w:rsid w:val="00E24BD2"/>
    <w:rsid w:val="00E24D70"/>
    <w:rsid w:val="00E24DDF"/>
    <w:rsid w:val="00E24E6B"/>
    <w:rsid w:val="00E25410"/>
    <w:rsid w:val="00E2553F"/>
    <w:rsid w:val="00E257CA"/>
    <w:rsid w:val="00E25B29"/>
    <w:rsid w:val="00E25DC9"/>
    <w:rsid w:val="00E25F8D"/>
    <w:rsid w:val="00E25FC6"/>
    <w:rsid w:val="00E26156"/>
    <w:rsid w:val="00E26325"/>
    <w:rsid w:val="00E2677A"/>
    <w:rsid w:val="00E267D8"/>
    <w:rsid w:val="00E267F4"/>
    <w:rsid w:val="00E26841"/>
    <w:rsid w:val="00E26948"/>
    <w:rsid w:val="00E26A63"/>
    <w:rsid w:val="00E26B29"/>
    <w:rsid w:val="00E26ED7"/>
    <w:rsid w:val="00E27012"/>
    <w:rsid w:val="00E2717E"/>
    <w:rsid w:val="00E27705"/>
    <w:rsid w:val="00E27730"/>
    <w:rsid w:val="00E2783D"/>
    <w:rsid w:val="00E27963"/>
    <w:rsid w:val="00E27A36"/>
    <w:rsid w:val="00E27ACF"/>
    <w:rsid w:val="00E27E4B"/>
    <w:rsid w:val="00E27EE2"/>
    <w:rsid w:val="00E30435"/>
    <w:rsid w:val="00E30802"/>
    <w:rsid w:val="00E308D4"/>
    <w:rsid w:val="00E30959"/>
    <w:rsid w:val="00E309DC"/>
    <w:rsid w:val="00E30BEA"/>
    <w:rsid w:val="00E30F91"/>
    <w:rsid w:val="00E311FD"/>
    <w:rsid w:val="00E3150B"/>
    <w:rsid w:val="00E315AA"/>
    <w:rsid w:val="00E31694"/>
    <w:rsid w:val="00E316CF"/>
    <w:rsid w:val="00E31712"/>
    <w:rsid w:val="00E31725"/>
    <w:rsid w:val="00E31871"/>
    <w:rsid w:val="00E3192A"/>
    <w:rsid w:val="00E31CDF"/>
    <w:rsid w:val="00E31FD0"/>
    <w:rsid w:val="00E320C6"/>
    <w:rsid w:val="00E32190"/>
    <w:rsid w:val="00E322BB"/>
    <w:rsid w:val="00E3237A"/>
    <w:rsid w:val="00E323FF"/>
    <w:rsid w:val="00E32669"/>
    <w:rsid w:val="00E326D8"/>
    <w:rsid w:val="00E3277D"/>
    <w:rsid w:val="00E32831"/>
    <w:rsid w:val="00E32B18"/>
    <w:rsid w:val="00E32C50"/>
    <w:rsid w:val="00E32EC9"/>
    <w:rsid w:val="00E33297"/>
    <w:rsid w:val="00E33582"/>
    <w:rsid w:val="00E335F3"/>
    <w:rsid w:val="00E336CD"/>
    <w:rsid w:val="00E3389B"/>
    <w:rsid w:val="00E33B00"/>
    <w:rsid w:val="00E33D26"/>
    <w:rsid w:val="00E33DBE"/>
    <w:rsid w:val="00E341C8"/>
    <w:rsid w:val="00E34271"/>
    <w:rsid w:val="00E345D6"/>
    <w:rsid w:val="00E345D7"/>
    <w:rsid w:val="00E348DE"/>
    <w:rsid w:val="00E34A70"/>
    <w:rsid w:val="00E34B5E"/>
    <w:rsid w:val="00E34CDA"/>
    <w:rsid w:val="00E34CDC"/>
    <w:rsid w:val="00E34D2D"/>
    <w:rsid w:val="00E34E01"/>
    <w:rsid w:val="00E34E2E"/>
    <w:rsid w:val="00E34F77"/>
    <w:rsid w:val="00E350BD"/>
    <w:rsid w:val="00E35133"/>
    <w:rsid w:val="00E3530E"/>
    <w:rsid w:val="00E3535D"/>
    <w:rsid w:val="00E353C4"/>
    <w:rsid w:val="00E353E1"/>
    <w:rsid w:val="00E35591"/>
    <w:rsid w:val="00E355AF"/>
    <w:rsid w:val="00E35971"/>
    <w:rsid w:val="00E35BB7"/>
    <w:rsid w:val="00E35D1F"/>
    <w:rsid w:val="00E35F30"/>
    <w:rsid w:val="00E35FF0"/>
    <w:rsid w:val="00E36021"/>
    <w:rsid w:val="00E36106"/>
    <w:rsid w:val="00E363CB"/>
    <w:rsid w:val="00E364E0"/>
    <w:rsid w:val="00E36509"/>
    <w:rsid w:val="00E365FB"/>
    <w:rsid w:val="00E36835"/>
    <w:rsid w:val="00E36980"/>
    <w:rsid w:val="00E369E1"/>
    <w:rsid w:val="00E36AA4"/>
    <w:rsid w:val="00E36B93"/>
    <w:rsid w:val="00E36CD2"/>
    <w:rsid w:val="00E36D85"/>
    <w:rsid w:val="00E36DE9"/>
    <w:rsid w:val="00E3727A"/>
    <w:rsid w:val="00E3766D"/>
    <w:rsid w:val="00E377CA"/>
    <w:rsid w:val="00E3780B"/>
    <w:rsid w:val="00E37B11"/>
    <w:rsid w:val="00E37D5F"/>
    <w:rsid w:val="00E37DBB"/>
    <w:rsid w:val="00E37F19"/>
    <w:rsid w:val="00E37FA5"/>
    <w:rsid w:val="00E3B3AE"/>
    <w:rsid w:val="00E4015A"/>
    <w:rsid w:val="00E40A17"/>
    <w:rsid w:val="00E40C23"/>
    <w:rsid w:val="00E40F0F"/>
    <w:rsid w:val="00E41107"/>
    <w:rsid w:val="00E41143"/>
    <w:rsid w:val="00E41179"/>
    <w:rsid w:val="00E41235"/>
    <w:rsid w:val="00E41490"/>
    <w:rsid w:val="00E41534"/>
    <w:rsid w:val="00E415EC"/>
    <w:rsid w:val="00E418D0"/>
    <w:rsid w:val="00E4190E"/>
    <w:rsid w:val="00E41AE5"/>
    <w:rsid w:val="00E41B00"/>
    <w:rsid w:val="00E41BAF"/>
    <w:rsid w:val="00E41F41"/>
    <w:rsid w:val="00E42113"/>
    <w:rsid w:val="00E4224C"/>
    <w:rsid w:val="00E422CA"/>
    <w:rsid w:val="00E4245B"/>
    <w:rsid w:val="00E42532"/>
    <w:rsid w:val="00E425C4"/>
    <w:rsid w:val="00E426E7"/>
    <w:rsid w:val="00E426FD"/>
    <w:rsid w:val="00E4294F"/>
    <w:rsid w:val="00E429A6"/>
    <w:rsid w:val="00E42C10"/>
    <w:rsid w:val="00E42CC2"/>
    <w:rsid w:val="00E42DBB"/>
    <w:rsid w:val="00E42FA2"/>
    <w:rsid w:val="00E430C5"/>
    <w:rsid w:val="00E4324E"/>
    <w:rsid w:val="00E43252"/>
    <w:rsid w:val="00E43401"/>
    <w:rsid w:val="00E4349A"/>
    <w:rsid w:val="00E4377D"/>
    <w:rsid w:val="00E43781"/>
    <w:rsid w:val="00E43A3E"/>
    <w:rsid w:val="00E43AB6"/>
    <w:rsid w:val="00E43C04"/>
    <w:rsid w:val="00E43D42"/>
    <w:rsid w:val="00E43D6E"/>
    <w:rsid w:val="00E43DF7"/>
    <w:rsid w:val="00E43E45"/>
    <w:rsid w:val="00E44062"/>
    <w:rsid w:val="00E44077"/>
    <w:rsid w:val="00E442D8"/>
    <w:rsid w:val="00E44307"/>
    <w:rsid w:val="00E4434C"/>
    <w:rsid w:val="00E443B7"/>
    <w:rsid w:val="00E44433"/>
    <w:rsid w:val="00E44A12"/>
    <w:rsid w:val="00E44A5F"/>
    <w:rsid w:val="00E44AC2"/>
    <w:rsid w:val="00E44B76"/>
    <w:rsid w:val="00E44E70"/>
    <w:rsid w:val="00E450BB"/>
    <w:rsid w:val="00E45388"/>
    <w:rsid w:val="00E453D1"/>
    <w:rsid w:val="00E4548C"/>
    <w:rsid w:val="00E4558F"/>
    <w:rsid w:val="00E45600"/>
    <w:rsid w:val="00E4571B"/>
    <w:rsid w:val="00E45726"/>
    <w:rsid w:val="00E45930"/>
    <w:rsid w:val="00E45BFB"/>
    <w:rsid w:val="00E45F3A"/>
    <w:rsid w:val="00E45FF4"/>
    <w:rsid w:val="00E462C1"/>
    <w:rsid w:val="00E46417"/>
    <w:rsid w:val="00E46609"/>
    <w:rsid w:val="00E46717"/>
    <w:rsid w:val="00E469C0"/>
    <w:rsid w:val="00E46A09"/>
    <w:rsid w:val="00E46E23"/>
    <w:rsid w:val="00E46EA6"/>
    <w:rsid w:val="00E46F0A"/>
    <w:rsid w:val="00E46FBC"/>
    <w:rsid w:val="00E46FFE"/>
    <w:rsid w:val="00E470C5"/>
    <w:rsid w:val="00E4721C"/>
    <w:rsid w:val="00E4737D"/>
    <w:rsid w:val="00E47394"/>
    <w:rsid w:val="00E47484"/>
    <w:rsid w:val="00E4759D"/>
    <w:rsid w:val="00E4762B"/>
    <w:rsid w:val="00E4763A"/>
    <w:rsid w:val="00E4782F"/>
    <w:rsid w:val="00E47951"/>
    <w:rsid w:val="00E47E6C"/>
    <w:rsid w:val="00E47E78"/>
    <w:rsid w:val="00E47EBF"/>
    <w:rsid w:val="00E5001B"/>
    <w:rsid w:val="00E50061"/>
    <w:rsid w:val="00E50102"/>
    <w:rsid w:val="00E501AF"/>
    <w:rsid w:val="00E502C2"/>
    <w:rsid w:val="00E50325"/>
    <w:rsid w:val="00E503A4"/>
    <w:rsid w:val="00E50553"/>
    <w:rsid w:val="00E50560"/>
    <w:rsid w:val="00E5076E"/>
    <w:rsid w:val="00E507A9"/>
    <w:rsid w:val="00E50958"/>
    <w:rsid w:val="00E50C85"/>
    <w:rsid w:val="00E50D48"/>
    <w:rsid w:val="00E50DDE"/>
    <w:rsid w:val="00E51147"/>
    <w:rsid w:val="00E5147A"/>
    <w:rsid w:val="00E5183A"/>
    <w:rsid w:val="00E51AB2"/>
    <w:rsid w:val="00E51D3D"/>
    <w:rsid w:val="00E51F52"/>
    <w:rsid w:val="00E52154"/>
    <w:rsid w:val="00E5217F"/>
    <w:rsid w:val="00E5235E"/>
    <w:rsid w:val="00E5239D"/>
    <w:rsid w:val="00E523F1"/>
    <w:rsid w:val="00E52447"/>
    <w:rsid w:val="00E52448"/>
    <w:rsid w:val="00E52482"/>
    <w:rsid w:val="00E524D6"/>
    <w:rsid w:val="00E524FE"/>
    <w:rsid w:val="00E5250B"/>
    <w:rsid w:val="00E527AF"/>
    <w:rsid w:val="00E527C2"/>
    <w:rsid w:val="00E52850"/>
    <w:rsid w:val="00E52976"/>
    <w:rsid w:val="00E52B49"/>
    <w:rsid w:val="00E5306E"/>
    <w:rsid w:val="00E5324B"/>
    <w:rsid w:val="00E532E6"/>
    <w:rsid w:val="00E53355"/>
    <w:rsid w:val="00E5352B"/>
    <w:rsid w:val="00E53536"/>
    <w:rsid w:val="00E53794"/>
    <w:rsid w:val="00E5394F"/>
    <w:rsid w:val="00E539DB"/>
    <w:rsid w:val="00E53B33"/>
    <w:rsid w:val="00E53D68"/>
    <w:rsid w:val="00E53EC4"/>
    <w:rsid w:val="00E53F85"/>
    <w:rsid w:val="00E54208"/>
    <w:rsid w:val="00E54241"/>
    <w:rsid w:val="00E54277"/>
    <w:rsid w:val="00E54405"/>
    <w:rsid w:val="00E54512"/>
    <w:rsid w:val="00E54562"/>
    <w:rsid w:val="00E545CD"/>
    <w:rsid w:val="00E54643"/>
    <w:rsid w:val="00E546CA"/>
    <w:rsid w:val="00E54744"/>
    <w:rsid w:val="00E548A0"/>
    <w:rsid w:val="00E548B0"/>
    <w:rsid w:val="00E54AB0"/>
    <w:rsid w:val="00E54BF3"/>
    <w:rsid w:val="00E54C6B"/>
    <w:rsid w:val="00E54F84"/>
    <w:rsid w:val="00E54FA0"/>
    <w:rsid w:val="00E55018"/>
    <w:rsid w:val="00E551C3"/>
    <w:rsid w:val="00E55348"/>
    <w:rsid w:val="00E55630"/>
    <w:rsid w:val="00E55B42"/>
    <w:rsid w:val="00E55B55"/>
    <w:rsid w:val="00E55BE5"/>
    <w:rsid w:val="00E5628A"/>
    <w:rsid w:val="00E56431"/>
    <w:rsid w:val="00E56438"/>
    <w:rsid w:val="00E56757"/>
    <w:rsid w:val="00E56796"/>
    <w:rsid w:val="00E56806"/>
    <w:rsid w:val="00E5681B"/>
    <w:rsid w:val="00E56A00"/>
    <w:rsid w:val="00E56B04"/>
    <w:rsid w:val="00E56B08"/>
    <w:rsid w:val="00E56B62"/>
    <w:rsid w:val="00E56B76"/>
    <w:rsid w:val="00E571FF"/>
    <w:rsid w:val="00E57436"/>
    <w:rsid w:val="00E57A9E"/>
    <w:rsid w:val="00E57CB5"/>
    <w:rsid w:val="00E57E24"/>
    <w:rsid w:val="00E57E55"/>
    <w:rsid w:val="00E57E91"/>
    <w:rsid w:val="00E57F9D"/>
    <w:rsid w:val="00E57FE0"/>
    <w:rsid w:val="00E600A7"/>
    <w:rsid w:val="00E60122"/>
    <w:rsid w:val="00E6031C"/>
    <w:rsid w:val="00E604A4"/>
    <w:rsid w:val="00E604CE"/>
    <w:rsid w:val="00E604D5"/>
    <w:rsid w:val="00E60511"/>
    <w:rsid w:val="00E60719"/>
    <w:rsid w:val="00E60838"/>
    <w:rsid w:val="00E60998"/>
    <w:rsid w:val="00E60A46"/>
    <w:rsid w:val="00E60E44"/>
    <w:rsid w:val="00E60F6A"/>
    <w:rsid w:val="00E60FBB"/>
    <w:rsid w:val="00E6127A"/>
    <w:rsid w:val="00E61357"/>
    <w:rsid w:val="00E6137E"/>
    <w:rsid w:val="00E613B1"/>
    <w:rsid w:val="00E61609"/>
    <w:rsid w:val="00E616AF"/>
    <w:rsid w:val="00E617A8"/>
    <w:rsid w:val="00E61A33"/>
    <w:rsid w:val="00E61B0A"/>
    <w:rsid w:val="00E61B3A"/>
    <w:rsid w:val="00E61B64"/>
    <w:rsid w:val="00E61DB3"/>
    <w:rsid w:val="00E61E8A"/>
    <w:rsid w:val="00E61F81"/>
    <w:rsid w:val="00E6202B"/>
    <w:rsid w:val="00E62058"/>
    <w:rsid w:val="00E620AA"/>
    <w:rsid w:val="00E6233B"/>
    <w:rsid w:val="00E6249A"/>
    <w:rsid w:val="00E625C3"/>
    <w:rsid w:val="00E62601"/>
    <w:rsid w:val="00E626E6"/>
    <w:rsid w:val="00E62918"/>
    <w:rsid w:val="00E62BED"/>
    <w:rsid w:val="00E62C37"/>
    <w:rsid w:val="00E62E80"/>
    <w:rsid w:val="00E632C4"/>
    <w:rsid w:val="00E6330E"/>
    <w:rsid w:val="00E6333C"/>
    <w:rsid w:val="00E6345F"/>
    <w:rsid w:val="00E635FB"/>
    <w:rsid w:val="00E6372C"/>
    <w:rsid w:val="00E63983"/>
    <w:rsid w:val="00E639E7"/>
    <w:rsid w:val="00E63D76"/>
    <w:rsid w:val="00E63DA0"/>
    <w:rsid w:val="00E63DE0"/>
    <w:rsid w:val="00E63F53"/>
    <w:rsid w:val="00E63F63"/>
    <w:rsid w:val="00E6413A"/>
    <w:rsid w:val="00E641DB"/>
    <w:rsid w:val="00E64372"/>
    <w:rsid w:val="00E647C9"/>
    <w:rsid w:val="00E648F6"/>
    <w:rsid w:val="00E64CA7"/>
    <w:rsid w:val="00E64E25"/>
    <w:rsid w:val="00E64E65"/>
    <w:rsid w:val="00E64EEA"/>
    <w:rsid w:val="00E64EF4"/>
    <w:rsid w:val="00E64FA6"/>
    <w:rsid w:val="00E64FB0"/>
    <w:rsid w:val="00E650E5"/>
    <w:rsid w:val="00E65794"/>
    <w:rsid w:val="00E658C5"/>
    <w:rsid w:val="00E658DB"/>
    <w:rsid w:val="00E6594A"/>
    <w:rsid w:val="00E65C07"/>
    <w:rsid w:val="00E65C15"/>
    <w:rsid w:val="00E65CA3"/>
    <w:rsid w:val="00E65D5C"/>
    <w:rsid w:val="00E65FF2"/>
    <w:rsid w:val="00E66059"/>
    <w:rsid w:val="00E66209"/>
    <w:rsid w:val="00E6635E"/>
    <w:rsid w:val="00E663EC"/>
    <w:rsid w:val="00E6649B"/>
    <w:rsid w:val="00E66671"/>
    <w:rsid w:val="00E668AB"/>
    <w:rsid w:val="00E669BE"/>
    <w:rsid w:val="00E66B69"/>
    <w:rsid w:val="00E66FF7"/>
    <w:rsid w:val="00E67414"/>
    <w:rsid w:val="00E67498"/>
    <w:rsid w:val="00E6764F"/>
    <w:rsid w:val="00E677C6"/>
    <w:rsid w:val="00E677F4"/>
    <w:rsid w:val="00E67818"/>
    <w:rsid w:val="00E67869"/>
    <w:rsid w:val="00E678B6"/>
    <w:rsid w:val="00E678C0"/>
    <w:rsid w:val="00E67BAB"/>
    <w:rsid w:val="00E67FCA"/>
    <w:rsid w:val="00E70225"/>
    <w:rsid w:val="00E7022F"/>
    <w:rsid w:val="00E70294"/>
    <w:rsid w:val="00E70368"/>
    <w:rsid w:val="00E703B3"/>
    <w:rsid w:val="00E703DA"/>
    <w:rsid w:val="00E7062D"/>
    <w:rsid w:val="00E7065D"/>
    <w:rsid w:val="00E707BF"/>
    <w:rsid w:val="00E7085F"/>
    <w:rsid w:val="00E70906"/>
    <w:rsid w:val="00E70B40"/>
    <w:rsid w:val="00E70B60"/>
    <w:rsid w:val="00E70B86"/>
    <w:rsid w:val="00E70B8D"/>
    <w:rsid w:val="00E70DD7"/>
    <w:rsid w:val="00E70FA1"/>
    <w:rsid w:val="00E711F9"/>
    <w:rsid w:val="00E713B1"/>
    <w:rsid w:val="00E714EE"/>
    <w:rsid w:val="00E7160B"/>
    <w:rsid w:val="00E71716"/>
    <w:rsid w:val="00E7175C"/>
    <w:rsid w:val="00E71ABA"/>
    <w:rsid w:val="00E71B16"/>
    <w:rsid w:val="00E71C9C"/>
    <w:rsid w:val="00E71ED0"/>
    <w:rsid w:val="00E71EE3"/>
    <w:rsid w:val="00E71EFA"/>
    <w:rsid w:val="00E71F08"/>
    <w:rsid w:val="00E71F72"/>
    <w:rsid w:val="00E7232B"/>
    <w:rsid w:val="00E72472"/>
    <w:rsid w:val="00E7278B"/>
    <w:rsid w:val="00E72812"/>
    <w:rsid w:val="00E728B6"/>
    <w:rsid w:val="00E728D9"/>
    <w:rsid w:val="00E72B38"/>
    <w:rsid w:val="00E72BC7"/>
    <w:rsid w:val="00E72E88"/>
    <w:rsid w:val="00E72F45"/>
    <w:rsid w:val="00E72F7E"/>
    <w:rsid w:val="00E73050"/>
    <w:rsid w:val="00E73188"/>
    <w:rsid w:val="00E73650"/>
    <w:rsid w:val="00E73848"/>
    <w:rsid w:val="00E73B7A"/>
    <w:rsid w:val="00E73C25"/>
    <w:rsid w:val="00E73C86"/>
    <w:rsid w:val="00E73FF6"/>
    <w:rsid w:val="00E74093"/>
    <w:rsid w:val="00E74185"/>
    <w:rsid w:val="00E74205"/>
    <w:rsid w:val="00E74253"/>
    <w:rsid w:val="00E742F4"/>
    <w:rsid w:val="00E744D4"/>
    <w:rsid w:val="00E745AD"/>
    <w:rsid w:val="00E747F2"/>
    <w:rsid w:val="00E748C8"/>
    <w:rsid w:val="00E74986"/>
    <w:rsid w:val="00E74BA5"/>
    <w:rsid w:val="00E74C89"/>
    <w:rsid w:val="00E74CAB"/>
    <w:rsid w:val="00E74CD9"/>
    <w:rsid w:val="00E74DAD"/>
    <w:rsid w:val="00E74F0C"/>
    <w:rsid w:val="00E74FB2"/>
    <w:rsid w:val="00E75168"/>
    <w:rsid w:val="00E752BB"/>
    <w:rsid w:val="00E75330"/>
    <w:rsid w:val="00E75647"/>
    <w:rsid w:val="00E756C7"/>
    <w:rsid w:val="00E7576F"/>
    <w:rsid w:val="00E758DF"/>
    <w:rsid w:val="00E7595A"/>
    <w:rsid w:val="00E75A32"/>
    <w:rsid w:val="00E75CE0"/>
    <w:rsid w:val="00E75DCA"/>
    <w:rsid w:val="00E75EF0"/>
    <w:rsid w:val="00E763F5"/>
    <w:rsid w:val="00E7651F"/>
    <w:rsid w:val="00E76844"/>
    <w:rsid w:val="00E76AC9"/>
    <w:rsid w:val="00E76B0D"/>
    <w:rsid w:val="00E76B2C"/>
    <w:rsid w:val="00E76B84"/>
    <w:rsid w:val="00E76EA5"/>
    <w:rsid w:val="00E76F6E"/>
    <w:rsid w:val="00E771FD"/>
    <w:rsid w:val="00E772C9"/>
    <w:rsid w:val="00E7730B"/>
    <w:rsid w:val="00E7737E"/>
    <w:rsid w:val="00E778B4"/>
    <w:rsid w:val="00E779B5"/>
    <w:rsid w:val="00E77CE4"/>
    <w:rsid w:val="00E77E88"/>
    <w:rsid w:val="00E80188"/>
    <w:rsid w:val="00E8018F"/>
    <w:rsid w:val="00E80248"/>
    <w:rsid w:val="00E80259"/>
    <w:rsid w:val="00E8027D"/>
    <w:rsid w:val="00E802CF"/>
    <w:rsid w:val="00E8044A"/>
    <w:rsid w:val="00E80597"/>
    <w:rsid w:val="00E805F7"/>
    <w:rsid w:val="00E80826"/>
    <w:rsid w:val="00E80B70"/>
    <w:rsid w:val="00E80BB6"/>
    <w:rsid w:val="00E80C7E"/>
    <w:rsid w:val="00E80E3D"/>
    <w:rsid w:val="00E80F9E"/>
    <w:rsid w:val="00E80FEB"/>
    <w:rsid w:val="00E810C6"/>
    <w:rsid w:val="00E81897"/>
    <w:rsid w:val="00E8195B"/>
    <w:rsid w:val="00E8199B"/>
    <w:rsid w:val="00E81A3A"/>
    <w:rsid w:val="00E81BD9"/>
    <w:rsid w:val="00E81C0A"/>
    <w:rsid w:val="00E81D0D"/>
    <w:rsid w:val="00E81D62"/>
    <w:rsid w:val="00E81DF3"/>
    <w:rsid w:val="00E82122"/>
    <w:rsid w:val="00E82151"/>
    <w:rsid w:val="00E82202"/>
    <w:rsid w:val="00E822FE"/>
    <w:rsid w:val="00E826C5"/>
    <w:rsid w:val="00E82A93"/>
    <w:rsid w:val="00E83222"/>
    <w:rsid w:val="00E832EE"/>
    <w:rsid w:val="00E83632"/>
    <w:rsid w:val="00E83633"/>
    <w:rsid w:val="00E83639"/>
    <w:rsid w:val="00E8364F"/>
    <w:rsid w:val="00E8366D"/>
    <w:rsid w:val="00E838E7"/>
    <w:rsid w:val="00E839AC"/>
    <w:rsid w:val="00E83A00"/>
    <w:rsid w:val="00E83C10"/>
    <w:rsid w:val="00E83ED5"/>
    <w:rsid w:val="00E8400C"/>
    <w:rsid w:val="00E8411B"/>
    <w:rsid w:val="00E842BE"/>
    <w:rsid w:val="00E8445B"/>
    <w:rsid w:val="00E84483"/>
    <w:rsid w:val="00E844BD"/>
    <w:rsid w:val="00E844C8"/>
    <w:rsid w:val="00E846D6"/>
    <w:rsid w:val="00E84707"/>
    <w:rsid w:val="00E84AEE"/>
    <w:rsid w:val="00E84CCD"/>
    <w:rsid w:val="00E84D2D"/>
    <w:rsid w:val="00E84DF0"/>
    <w:rsid w:val="00E84ECA"/>
    <w:rsid w:val="00E84F8E"/>
    <w:rsid w:val="00E84FB9"/>
    <w:rsid w:val="00E8503E"/>
    <w:rsid w:val="00E85175"/>
    <w:rsid w:val="00E8563A"/>
    <w:rsid w:val="00E85947"/>
    <w:rsid w:val="00E859F7"/>
    <w:rsid w:val="00E86289"/>
    <w:rsid w:val="00E8665C"/>
    <w:rsid w:val="00E8675C"/>
    <w:rsid w:val="00E867B2"/>
    <w:rsid w:val="00E86987"/>
    <w:rsid w:val="00E869B1"/>
    <w:rsid w:val="00E869B7"/>
    <w:rsid w:val="00E86A72"/>
    <w:rsid w:val="00E86AA9"/>
    <w:rsid w:val="00E86C0F"/>
    <w:rsid w:val="00E86C46"/>
    <w:rsid w:val="00E86CCA"/>
    <w:rsid w:val="00E86F38"/>
    <w:rsid w:val="00E86F40"/>
    <w:rsid w:val="00E87206"/>
    <w:rsid w:val="00E87230"/>
    <w:rsid w:val="00E87282"/>
    <w:rsid w:val="00E8734B"/>
    <w:rsid w:val="00E873F0"/>
    <w:rsid w:val="00E877BF"/>
    <w:rsid w:val="00E879C0"/>
    <w:rsid w:val="00E879D5"/>
    <w:rsid w:val="00E87BBC"/>
    <w:rsid w:val="00E87F4C"/>
    <w:rsid w:val="00E90003"/>
    <w:rsid w:val="00E900ED"/>
    <w:rsid w:val="00E90116"/>
    <w:rsid w:val="00E901A6"/>
    <w:rsid w:val="00E90233"/>
    <w:rsid w:val="00E904E1"/>
    <w:rsid w:val="00E906AF"/>
    <w:rsid w:val="00E90B5F"/>
    <w:rsid w:val="00E90F7B"/>
    <w:rsid w:val="00E90FAE"/>
    <w:rsid w:val="00E91276"/>
    <w:rsid w:val="00E914F5"/>
    <w:rsid w:val="00E915A7"/>
    <w:rsid w:val="00E9160E"/>
    <w:rsid w:val="00E91682"/>
    <w:rsid w:val="00E919BA"/>
    <w:rsid w:val="00E91B1E"/>
    <w:rsid w:val="00E91B40"/>
    <w:rsid w:val="00E91CF9"/>
    <w:rsid w:val="00E91F57"/>
    <w:rsid w:val="00E92105"/>
    <w:rsid w:val="00E9220F"/>
    <w:rsid w:val="00E922A5"/>
    <w:rsid w:val="00E92362"/>
    <w:rsid w:val="00E9247F"/>
    <w:rsid w:val="00E924FE"/>
    <w:rsid w:val="00E92674"/>
    <w:rsid w:val="00E926EF"/>
    <w:rsid w:val="00E926F5"/>
    <w:rsid w:val="00E92892"/>
    <w:rsid w:val="00E92951"/>
    <w:rsid w:val="00E92E37"/>
    <w:rsid w:val="00E92E5F"/>
    <w:rsid w:val="00E92EBD"/>
    <w:rsid w:val="00E934AD"/>
    <w:rsid w:val="00E93552"/>
    <w:rsid w:val="00E93B1D"/>
    <w:rsid w:val="00E93CD9"/>
    <w:rsid w:val="00E93D2B"/>
    <w:rsid w:val="00E93E61"/>
    <w:rsid w:val="00E93FD1"/>
    <w:rsid w:val="00E94357"/>
    <w:rsid w:val="00E94A5B"/>
    <w:rsid w:val="00E94BF2"/>
    <w:rsid w:val="00E94CAA"/>
    <w:rsid w:val="00E94F67"/>
    <w:rsid w:val="00E95118"/>
    <w:rsid w:val="00E953A6"/>
    <w:rsid w:val="00E95446"/>
    <w:rsid w:val="00E9552E"/>
    <w:rsid w:val="00E95566"/>
    <w:rsid w:val="00E957EB"/>
    <w:rsid w:val="00E95AFE"/>
    <w:rsid w:val="00E95B00"/>
    <w:rsid w:val="00E95CD0"/>
    <w:rsid w:val="00E95D15"/>
    <w:rsid w:val="00E95D45"/>
    <w:rsid w:val="00E95D5D"/>
    <w:rsid w:val="00E95D7B"/>
    <w:rsid w:val="00E95EA9"/>
    <w:rsid w:val="00E95F3A"/>
    <w:rsid w:val="00E96009"/>
    <w:rsid w:val="00E960F1"/>
    <w:rsid w:val="00E9614E"/>
    <w:rsid w:val="00E962E1"/>
    <w:rsid w:val="00E9649F"/>
    <w:rsid w:val="00E96627"/>
    <w:rsid w:val="00E96641"/>
    <w:rsid w:val="00E966E8"/>
    <w:rsid w:val="00E968D8"/>
    <w:rsid w:val="00E969CA"/>
    <w:rsid w:val="00E96AAC"/>
    <w:rsid w:val="00E96AD2"/>
    <w:rsid w:val="00E96B9C"/>
    <w:rsid w:val="00E96BF5"/>
    <w:rsid w:val="00E96EDD"/>
    <w:rsid w:val="00E96FF5"/>
    <w:rsid w:val="00E97265"/>
    <w:rsid w:val="00E9729D"/>
    <w:rsid w:val="00E9756C"/>
    <w:rsid w:val="00E975FA"/>
    <w:rsid w:val="00E97625"/>
    <w:rsid w:val="00E9782E"/>
    <w:rsid w:val="00E97B93"/>
    <w:rsid w:val="00E97D6A"/>
    <w:rsid w:val="00E97E4C"/>
    <w:rsid w:val="00EA0001"/>
    <w:rsid w:val="00EA007F"/>
    <w:rsid w:val="00EA00C6"/>
    <w:rsid w:val="00EA011A"/>
    <w:rsid w:val="00EA0485"/>
    <w:rsid w:val="00EA0524"/>
    <w:rsid w:val="00EA0689"/>
    <w:rsid w:val="00EA084B"/>
    <w:rsid w:val="00EA090E"/>
    <w:rsid w:val="00EA0A19"/>
    <w:rsid w:val="00EA0A7D"/>
    <w:rsid w:val="00EA0AAC"/>
    <w:rsid w:val="00EA0B43"/>
    <w:rsid w:val="00EA0B59"/>
    <w:rsid w:val="00EA0DB0"/>
    <w:rsid w:val="00EA0DD9"/>
    <w:rsid w:val="00EA109D"/>
    <w:rsid w:val="00EA119D"/>
    <w:rsid w:val="00EA134C"/>
    <w:rsid w:val="00EA138E"/>
    <w:rsid w:val="00EA1522"/>
    <w:rsid w:val="00EA1656"/>
    <w:rsid w:val="00EA197A"/>
    <w:rsid w:val="00EA1BA1"/>
    <w:rsid w:val="00EA1BDA"/>
    <w:rsid w:val="00EA1CA0"/>
    <w:rsid w:val="00EA1D51"/>
    <w:rsid w:val="00EA1EB4"/>
    <w:rsid w:val="00EA1F0F"/>
    <w:rsid w:val="00EA210B"/>
    <w:rsid w:val="00EA2581"/>
    <w:rsid w:val="00EA25B5"/>
    <w:rsid w:val="00EA26A3"/>
    <w:rsid w:val="00EA26C7"/>
    <w:rsid w:val="00EA2C40"/>
    <w:rsid w:val="00EA2CFB"/>
    <w:rsid w:val="00EA2D4D"/>
    <w:rsid w:val="00EA2D68"/>
    <w:rsid w:val="00EA2EAA"/>
    <w:rsid w:val="00EA2EEE"/>
    <w:rsid w:val="00EA2F30"/>
    <w:rsid w:val="00EA2F7A"/>
    <w:rsid w:val="00EA308B"/>
    <w:rsid w:val="00EA322F"/>
    <w:rsid w:val="00EA3294"/>
    <w:rsid w:val="00EA338C"/>
    <w:rsid w:val="00EA3691"/>
    <w:rsid w:val="00EA3792"/>
    <w:rsid w:val="00EA38AA"/>
    <w:rsid w:val="00EA3998"/>
    <w:rsid w:val="00EA3A3E"/>
    <w:rsid w:val="00EA3A9A"/>
    <w:rsid w:val="00EA3BBD"/>
    <w:rsid w:val="00EA3D5D"/>
    <w:rsid w:val="00EA3F6F"/>
    <w:rsid w:val="00EA3F7B"/>
    <w:rsid w:val="00EA40AE"/>
    <w:rsid w:val="00EA4202"/>
    <w:rsid w:val="00EA45C1"/>
    <w:rsid w:val="00EA467D"/>
    <w:rsid w:val="00EA46E4"/>
    <w:rsid w:val="00EA4713"/>
    <w:rsid w:val="00EA4872"/>
    <w:rsid w:val="00EA4A08"/>
    <w:rsid w:val="00EA4B55"/>
    <w:rsid w:val="00EA4C75"/>
    <w:rsid w:val="00EA4DE3"/>
    <w:rsid w:val="00EA4E13"/>
    <w:rsid w:val="00EA4E85"/>
    <w:rsid w:val="00EA50C3"/>
    <w:rsid w:val="00EA5224"/>
    <w:rsid w:val="00EA526E"/>
    <w:rsid w:val="00EA5271"/>
    <w:rsid w:val="00EA52F3"/>
    <w:rsid w:val="00EA5392"/>
    <w:rsid w:val="00EA5439"/>
    <w:rsid w:val="00EA555A"/>
    <w:rsid w:val="00EA5596"/>
    <w:rsid w:val="00EA5676"/>
    <w:rsid w:val="00EA57B0"/>
    <w:rsid w:val="00EA5861"/>
    <w:rsid w:val="00EA5895"/>
    <w:rsid w:val="00EA5C51"/>
    <w:rsid w:val="00EA5CD2"/>
    <w:rsid w:val="00EA5DCB"/>
    <w:rsid w:val="00EA5EDD"/>
    <w:rsid w:val="00EA5FC7"/>
    <w:rsid w:val="00EA61D3"/>
    <w:rsid w:val="00EA62A4"/>
    <w:rsid w:val="00EA62D8"/>
    <w:rsid w:val="00EA6303"/>
    <w:rsid w:val="00EA63CB"/>
    <w:rsid w:val="00EA661A"/>
    <w:rsid w:val="00EA67CC"/>
    <w:rsid w:val="00EA685E"/>
    <w:rsid w:val="00EA6885"/>
    <w:rsid w:val="00EA6BB2"/>
    <w:rsid w:val="00EA6C1B"/>
    <w:rsid w:val="00EA6EA6"/>
    <w:rsid w:val="00EA6F48"/>
    <w:rsid w:val="00EA7088"/>
    <w:rsid w:val="00EA7152"/>
    <w:rsid w:val="00EA7273"/>
    <w:rsid w:val="00EA7355"/>
    <w:rsid w:val="00EA7497"/>
    <w:rsid w:val="00EA74B5"/>
    <w:rsid w:val="00EA74BB"/>
    <w:rsid w:val="00EA7501"/>
    <w:rsid w:val="00EA7545"/>
    <w:rsid w:val="00EA7693"/>
    <w:rsid w:val="00EA76AE"/>
    <w:rsid w:val="00EA77C0"/>
    <w:rsid w:val="00EA7B74"/>
    <w:rsid w:val="00EA7B9D"/>
    <w:rsid w:val="00EA7C1B"/>
    <w:rsid w:val="00EA7CB1"/>
    <w:rsid w:val="00EA7D9A"/>
    <w:rsid w:val="00EA7DB7"/>
    <w:rsid w:val="00EA7F98"/>
    <w:rsid w:val="00EA7FA0"/>
    <w:rsid w:val="00EB0118"/>
    <w:rsid w:val="00EB0189"/>
    <w:rsid w:val="00EB02DA"/>
    <w:rsid w:val="00EB0327"/>
    <w:rsid w:val="00EB032E"/>
    <w:rsid w:val="00EB0517"/>
    <w:rsid w:val="00EB05F6"/>
    <w:rsid w:val="00EB063C"/>
    <w:rsid w:val="00EB069F"/>
    <w:rsid w:val="00EB089A"/>
    <w:rsid w:val="00EB0DF7"/>
    <w:rsid w:val="00EB0E93"/>
    <w:rsid w:val="00EB107F"/>
    <w:rsid w:val="00EB12D9"/>
    <w:rsid w:val="00EB13EF"/>
    <w:rsid w:val="00EB1510"/>
    <w:rsid w:val="00EB155E"/>
    <w:rsid w:val="00EB16B5"/>
    <w:rsid w:val="00EB1B6F"/>
    <w:rsid w:val="00EB1E2D"/>
    <w:rsid w:val="00EB1ED7"/>
    <w:rsid w:val="00EB1EF8"/>
    <w:rsid w:val="00EB1F1B"/>
    <w:rsid w:val="00EB2210"/>
    <w:rsid w:val="00EB2232"/>
    <w:rsid w:val="00EB22E8"/>
    <w:rsid w:val="00EB239D"/>
    <w:rsid w:val="00EB23A4"/>
    <w:rsid w:val="00EB23EB"/>
    <w:rsid w:val="00EB248D"/>
    <w:rsid w:val="00EB258B"/>
    <w:rsid w:val="00EB2614"/>
    <w:rsid w:val="00EB265A"/>
    <w:rsid w:val="00EB2DCB"/>
    <w:rsid w:val="00EB2F16"/>
    <w:rsid w:val="00EB3360"/>
    <w:rsid w:val="00EB364D"/>
    <w:rsid w:val="00EB38BA"/>
    <w:rsid w:val="00EB392E"/>
    <w:rsid w:val="00EB39E4"/>
    <w:rsid w:val="00EB3A3C"/>
    <w:rsid w:val="00EB3C1D"/>
    <w:rsid w:val="00EB3D3E"/>
    <w:rsid w:val="00EB3DAF"/>
    <w:rsid w:val="00EB4012"/>
    <w:rsid w:val="00EB467F"/>
    <w:rsid w:val="00EB46A4"/>
    <w:rsid w:val="00EB472D"/>
    <w:rsid w:val="00EB4746"/>
    <w:rsid w:val="00EB4838"/>
    <w:rsid w:val="00EB49A1"/>
    <w:rsid w:val="00EB4C72"/>
    <w:rsid w:val="00EB4C91"/>
    <w:rsid w:val="00EB4DFF"/>
    <w:rsid w:val="00EB4E25"/>
    <w:rsid w:val="00EB4EDC"/>
    <w:rsid w:val="00EB500C"/>
    <w:rsid w:val="00EB50E0"/>
    <w:rsid w:val="00EB510C"/>
    <w:rsid w:val="00EB5130"/>
    <w:rsid w:val="00EB5134"/>
    <w:rsid w:val="00EB530E"/>
    <w:rsid w:val="00EB5359"/>
    <w:rsid w:val="00EB5477"/>
    <w:rsid w:val="00EB5744"/>
    <w:rsid w:val="00EB5ABB"/>
    <w:rsid w:val="00EB5DA3"/>
    <w:rsid w:val="00EB5EDA"/>
    <w:rsid w:val="00EB5F5B"/>
    <w:rsid w:val="00EB5FCD"/>
    <w:rsid w:val="00EB6062"/>
    <w:rsid w:val="00EB65A5"/>
    <w:rsid w:val="00EB672E"/>
    <w:rsid w:val="00EB68DD"/>
    <w:rsid w:val="00EB6C1B"/>
    <w:rsid w:val="00EB6C92"/>
    <w:rsid w:val="00EB6E00"/>
    <w:rsid w:val="00EB6F05"/>
    <w:rsid w:val="00EB6F43"/>
    <w:rsid w:val="00EB70F8"/>
    <w:rsid w:val="00EB7169"/>
    <w:rsid w:val="00EB7233"/>
    <w:rsid w:val="00EB7389"/>
    <w:rsid w:val="00EB747C"/>
    <w:rsid w:val="00EB7519"/>
    <w:rsid w:val="00EB753B"/>
    <w:rsid w:val="00EB7781"/>
    <w:rsid w:val="00EB79E8"/>
    <w:rsid w:val="00EB7D52"/>
    <w:rsid w:val="00EB7D62"/>
    <w:rsid w:val="00EB7E9E"/>
    <w:rsid w:val="00EB7EAF"/>
    <w:rsid w:val="00EC0251"/>
    <w:rsid w:val="00EC0351"/>
    <w:rsid w:val="00EC0412"/>
    <w:rsid w:val="00EC044E"/>
    <w:rsid w:val="00EC04A5"/>
    <w:rsid w:val="00EC04C7"/>
    <w:rsid w:val="00EC054A"/>
    <w:rsid w:val="00EC056C"/>
    <w:rsid w:val="00EC05C6"/>
    <w:rsid w:val="00EC08BD"/>
    <w:rsid w:val="00EC09AA"/>
    <w:rsid w:val="00EC0A3D"/>
    <w:rsid w:val="00EC0B9E"/>
    <w:rsid w:val="00EC0BD0"/>
    <w:rsid w:val="00EC0C5F"/>
    <w:rsid w:val="00EC0D9F"/>
    <w:rsid w:val="00EC0E33"/>
    <w:rsid w:val="00EC0EF8"/>
    <w:rsid w:val="00EC0EFE"/>
    <w:rsid w:val="00EC102D"/>
    <w:rsid w:val="00EC10C8"/>
    <w:rsid w:val="00EC10E8"/>
    <w:rsid w:val="00EC11C7"/>
    <w:rsid w:val="00EC1476"/>
    <w:rsid w:val="00EC14DE"/>
    <w:rsid w:val="00EC151F"/>
    <w:rsid w:val="00EC1831"/>
    <w:rsid w:val="00EC19DB"/>
    <w:rsid w:val="00EC19EA"/>
    <w:rsid w:val="00EC1A58"/>
    <w:rsid w:val="00EC1A8A"/>
    <w:rsid w:val="00EC1BCE"/>
    <w:rsid w:val="00EC1C55"/>
    <w:rsid w:val="00EC1C67"/>
    <w:rsid w:val="00EC1CC5"/>
    <w:rsid w:val="00EC1E7F"/>
    <w:rsid w:val="00EC1EFE"/>
    <w:rsid w:val="00EC2369"/>
    <w:rsid w:val="00EC2431"/>
    <w:rsid w:val="00EC24A0"/>
    <w:rsid w:val="00EC24D6"/>
    <w:rsid w:val="00EC261F"/>
    <w:rsid w:val="00EC262B"/>
    <w:rsid w:val="00EC268F"/>
    <w:rsid w:val="00EC26A2"/>
    <w:rsid w:val="00EC26A5"/>
    <w:rsid w:val="00EC2780"/>
    <w:rsid w:val="00EC2783"/>
    <w:rsid w:val="00EC2877"/>
    <w:rsid w:val="00EC2BD9"/>
    <w:rsid w:val="00EC2D07"/>
    <w:rsid w:val="00EC2D6C"/>
    <w:rsid w:val="00EC3081"/>
    <w:rsid w:val="00EC3125"/>
    <w:rsid w:val="00EC315A"/>
    <w:rsid w:val="00EC3199"/>
    <w:rsid w:val="00EC321E"/>
    <w:rsid w:val="00EC326A"/>
    <w:rsid w:val="00EC341A"/>
    <w:rsid w:val="00EC349A"/>
    <w:rsid w:val="00EC378B"/>
    <w:rsid w:val="00EC37E9"/>
    <w:rsid w:val="00EC3976"/>
    <w:rsid w:val="00EC39BB"/>
    <w:rsid w:val="00EC3DEB"/>
    <w:rsid w:val="00EC409E"/>
    <w:rsid w:val="00EC443F"/>
    <w:rsid w:val="00EC44EF"/>
    <w:rsid w:val="00EC46D1"/>
    <w:rsid w:val="00EC4A14"/>
    <w:rsid w:val="00EC4AE6"/>
    <w:rsid w:val="00EC4CCE"/>
    <w:rsid w:val="00EC4CF6"/>
    <w:rsid w:val="00EC4D63"/>
    <w:rsid w:val="00EC4D9F"/>
    <w:rsid w:val="00EC4F98"/>
    <w:rsid w:val="00EC50FC"/>
    <w:rsid w:val="00EC5111"/>
    <w:rsid w:val="00EC5135"/>
    <w:rsid w:val="00EC5248"/>
    <w:rsid w:val="00EC528C"/>
    <w:rsid w:val="00EC54E6"/>
    <w:rsid w:val="00EC5B6E"/>
    <w:rsid w:val="00EC5BF3"/>
    <w:rsid w:val="00EC5E15"/>
    <w:rsid w:val="00EC6535"/>
    <w:rsid w:val="00EC6705"/>
    <w:rsid w:val="00EC677D"/>
    <w:rsid w:val="00EC6A0B"/>
    <w:rsid w:val="00EC6B1A"/>
    <w:rsid w:val="00EC6B34"/>
    <w:rsid w:val="00EC6E74"/>
    <w:rsid w:val="00EC6F4C"/>
    <w:rsid w:val="00EC7018"/>
    <w:rsid w:val="00EC70F2"/>
    <w:rsid w:val="00EC7279"/>
    <w:rsid w:val="00EC745F"/>
    <w:rsid w:val="00EC74E8"/>
    <w:rsid w:val="00EC759E"/>
    <w:rsid w:val="00EC75CD"/>
    <w:rsid w:val="00EC763E"/>
    <w:rsid w:val="00EC7A5B"/>
    <w:rsid w:val="00EC7F06"/>
    <w:rsid w:val="00EC7FF2"/>
    <w:rsid w:val="00ED00B2"/>
    <w:rsid w:val="00ED018A"/>
    <w:rsid w:val="00ED02D6"/>
    <w:rsid w:val="00ED0318"/>
    <w:rsid w:val="00ED0415"/>
    <w:rsid w:val="00ED0423"/>
    <w:rsid w:val="00ED05AF"/>
    <w:rsid w:val="00ED0678"/>
    <w:rsid w:val="00ED07AB"/>
    <w:rsid w:val="00ED0934"/>
    <w:rsid w:val="00ED098C"/>
    <w:rsid w:val="00ED0A05"/>
    <w:rsid w:val="00ED0CE4"/>
    <w:rsid w:val="00ED1087"/>
    <w:rsid w:val="00ED10A4"/>
    <w:rsid w:val="00ED12FC"/>
    <w:rsid w:val="00ED1477"/>
    <w:rsid w:val="00ED1598"/>
    <w:rsid w:val="00ED15D3"/>
    <w:rsid w:val="00ED165C"/>
    <w:rsid w:val="00ED1660"/>
    <w:rsid w:val="00ED1728"/>
    <w:rsid w:val="00ED172B"/>
    <w:rsid w:val="00ED1734"/>
    <w:rsid w:val="00ED177F"/>
    <w:rsid w:val="00ED1C69"/>
    <w:rsid w:val="00ED1EF1"/>
    <w:rsid w:val="00ED20F2"/>
    <w:rsid w:val="00ED229F"/>
    <w:rsid w:val="00ED22A3"/>
    <w:rsid w:val="00ED22B3"/>
    <w:rsid w:val="00ED24CE"/>
    <w:rsid w:val="00ED26D3"/>
    <w:rsid w:val="00ED2834"/>
    <w:rsid w:val="00ED2C9F"/>
    <w:rsid w:val="00ED2D2D"/>
    <w:rsid w:val="00ED2DAD"/>
    <w:rsid w:val="00ED2F63"/>
    <w:rsid w:val="00ED304E"/>
    <w:rsid w:val="00ED32D0"/>
    <w:rsid w:val="00ED3478"/>
    <w:rsid w:val="00ED3519"/>
    <w:rsid w:val="00ED3678"/>
    <w:rsid w:val="00ED37F5"/>
    <w:rsid w:val="00ED3A2C"/>
    <w:rsid w:val="00ED3C25"/>
    <w:rsid w:val="00ED3D43"/>
    <w:rsid w:val="00ED3E85"/>
    <w:rsid w:val="00ED4000"/>
    <w:rsid w:val="00ED458A"/>
    <w:rsid w:val="00ED470B"/>
    <w:rsid w:val="00ED4716"/>
    <w:rsid w:val="00ED4792"/>
    <w:rsid w:val="00ED491C"/>
    <w:rsid w:val="00ED4D51"/>
    <w:rsid w:val="00ED4E54"/>
    <w:rsid w:val="00ED500C"/>
    <w:rsid w:val="00ED5046"/>
    <w:rsid w:val="00ED5076"/>
    <w:rsid w:val="00ED510A"/>
    <w:rsid w:val="00ED5552"/>
    <w:rsid w:val="00ED57D9"/>
    <w:rsid w:val="00ED5908"/>
    <w:rsid w:val="00ED5C3A"/>
    <w:rsid w:val="00ED5CDB"/>
    <w:rsid w:val="00ED5DE2"/>
    <w:rsid w:val="00ED605F"/>
    <w:rsid w:val="00ED6152"/>
    <w:rsid w:val="00ED63EF"/>
    <w:rsid w:val="00ED6403"/>
    <w:rsid w:val="00ED6407"/>
    <w:rsid w:val="00ED6580"/>
    <w:rsid w:val="00ED65F8"/>
    <w:rsid w:val="00ED671B"/>
    <w:rsid w:val="00ED68AB"/>
    <w:rsid w:val="00ED6907"/>
    <w:rsid w:val="00ED6ACE"/>
    <w:rsid w:val="00ED6CEE"/>
    <w:rsid w:val="00ED6E4B"/>
    <w:rsid w:val="00ED72FE"/>
    <w:rsid w:val="00ED7306"/>
    <w:rsid w:val="00ED7324"/>
    <w:rsid w:val="00ED75EC"/>
    <w:rsid w:val="00ED778E"/>
    <w:rsid w:val="00ED7851"/>
    <w:rsid w:val="00ED788F"/>
    <w:rsid w:val="00ED7A67"/>
    <w:rsid w:val="00ED7AAE"/>
    <w:rsid w:val="00ED7B55"/>
    <w:rsid w:val="00ED7B61"/>
    <w:rsid w:val="00ED7EA5"/>
    <w:rsid w:val="00ED7FAB"/>
    <w:rsid w:val="00EE0103"/>
    <w:rsid w:val="00EE0342"/>
    <w:rsid w:val="00EE0453"/>
    <w:rsid w:val="00EE0461"/>
    <w:rsid w:val="00EE056D"/>
    <w:rsid w:val="00EE06EA"/>
    <w:rsid w:val="00EE0778"/>
    <w:rsid w:val="00EE07A8"/>
    <w:rsid w:val="00EE07EC"/>
    <w:rsid w:val="00EE0919"/>
    <w:rsid w:val="00EE0F2E"/>
    <w:rsid w:val="00EE0F7B"/>
    <w:rsid w:val="00EE100C"/>
    <w:rsid w:val="00EE1295"/>
    <w:rsid w:val="00EE1301"/>
    <w:rsid w:val="00EE1418"/>
    <w:rsid w:val="00EE166F"/>
    <w:rsid w:val="00EE16D3"/>
    <w:rsid w:val="00EE17B7"/>
    <w:rsid w:val="00EE17BF"/>
    <w:rsid w:val="00EE1B73"/>
    <w:rsid w:val="00EE1C40"/>
    <w:rsid w:val="00EE1D7E"/>
    <w:rsid w:val="00EE1EED"/>
    <w:rsid w:val="00EE213A"/>
    <w:rsid w:val="00EE23D1"/>
    <w:rsid w:val="00EE245D"/>
    <w:rsid w:val="00EE24A0"/>
    <w:rsid w:val="00EE26C8"/>
    <w:rsid w:val="00EE2EE1"/>
    <w:rsid w:val="00EE31E6"/>
    <w:rsid w:val="00EE3236"/>
    <w:rsid w:val="00EE326E"/>
    <w:rsid w:val="00EE32D7"/>
    <w:rsid w:val="00EE340B"/>
    <w:rsid w:val="00EE3569"/>
    <w:rsid w:val="00EE3580"/>
    <w:rsid w:val="00EE358A"/>
    <w:rsid w:val="00EE3609"/>
    <w:rsid w:val="00EE3651"/>
    <w:rsid w:val="00EE3724"/>
    <w:rsid w:val="00EE3959"/>
    <w:rsid w:val="00EE3B52"/>
    <w:rsid w:val="00EE3D44"/>
    <w:rsid w:val="00EE4035"/>
    <w:rsid w:val="00EE41B8"/>
    <w:rsid w:val="00EE4272"/>
    <w:rsid w:val="00EE4441"/>
    <w:rsid w:val="00EE450B"/>
    <w:rsid w:val="00EE4C4D"/>
    <w:rsid w:val="00EE4E37"/>
    <w:rsid w:val="00EE50A7"/>
    <w:rsid w:val="00EE51ED"/>
    <w:rsid w:val="00EE5290"/>
    <w:rsid w:val="00EE5349"/>
    <w:rsid w:val="00EE53AF"/>
    <w:rsid w:val="00EE5450"/>
    <w:rsid w:val="00EE559C"/>
    <w:rsid w:val="00EE56CB"/>
    <w:rsid w:val="00EE5988"/>
    <w:rsid w:val="00EE5A1F"/>
    <w:rsid w:val="00EE5A22"/>
    <w:rsid w:val="00EE5AD7"/>
    <w:rsid w:val="00EE5BA9"/>
    <w:rsid w:val="00EE5BB1"/>
    <w:rsid w:val="00EE5C2D"/>
    <w:rsid w:val="00EE5DA4"/>
    <w:rsid w:val="00EE5EFF"/>
    <w:rsid w:val="00EE61CC"/>
    <w:rsid w:val="00EE62E4"/>
    <w:rsid w:val="00EE636E"/>
    <w:rsid w:val="00EE63E3"/>
    <w:rsid w:val="00EE64A3"/>
    <w:rsid w:val="00EE69B5"/>
    <w:rsid w:val="00EE6A82"/>
    <w:rsid w:val="00EE6B44"/>
    <w:rsid w:val="00EE6E06"/>
    <w:rsid w:val="00EE6E80"/>
    <w:rsid w:val="00EE6E9E"/>
    <w:rsid w:val="00EE7000"/>
    <w:rsid w:val="00EE704A"/>
    <w:rsid w:val="00EE7263"/>
    <w:rsid w:val="00EE751E"/>
    <w:rsid w:val="00EE75ED"/>
    <w:rsid w:val="00EE75FC"/>
    <w:rsid w:val="00EE761A"/>
    <w:rsid w:val="00EE7A5F"/>
    <w:rsid w:val="00EE7AF0"/>
    <w:rsid w:val="00EE7C8A"/>
    <w:rsid w:val="00EE7EA1"/>
    <w:rsid w:val="00EF0076"/>
    <w:rsid w:val="00EF0229"/>
    <w:rsid w:val="00EF0370"/>
    <w:rsid w:val="00EF0530"/>
    <w:rsid w:val="00EF086B"/>
    <w:rsid w:val="00EF08A3"/>
    <w:rsid w:val="00EF09AE"/>
    <w:rsid w:val="00EF0A6E"/>
    <w:rsid w:val="00EF0B41"/>
    <w:rsid w:val="00EF0C8A"/>
    <w:rsid w:val="00EF0D2E"/>
    <w:rsid w:val="00EF0E07"/>
    <w:rsid w:val="00EF0F6E"/>
    <w:rsid w:val="00EF1174"/>
    <w:rsid w:val="00EF1295"/>
    <w:rsid w:val="00EF13D5"/>
    <w:rsid w:val="00EF13F8"/>
    <w:rsid w:val="00EF141E"/>
    <w:rsid w:val="00EF1449"/>
    <w:rsid w:val="00EF1515"/>
    <w:rsid w:val="00EF15ED"/>
    <w:rsid w:val="00EF1695"/>
    <w:rsid w:val="00EF1856"/>
    <w:rsid w:val="00EF18D6"/>
    <w:rsid w:val="00EF19F4"/>
    <w:rsid w:val="00EF1ABB"/>
    <w:rsid w:val="00EF1BB3"/>
    <w:rsid w:val="00EF1C2C"/>
    <w:rsid w:val="00EF1D84"/>
    <w:rsid w:val="00EF1F2E"/>
    <w:rsid w:val="00EF2144"/>
    <w:rsid w:val="00EF2171"/>
    <w:rsid w:val="00EF2316"/>
    <w:rsid w:val="00EF23E2"/>
    <w:rsid w:val="00EF2552"/>
    <w:rsid w:val="00EF25A4"/>
    <w:rsid w:val="00EF2779"/>
    <w:rsid w:val="00EF2CB7"/>
    <w:rsid w:val="00EF2DF0"/>
    <w:rsid w:val="00EF2E29"/>
    <w:rsid w:val="00EF2E74"/>
    <w:rsid w:val="00EF2E91"/>
    <w:rsid w:val="00EF30B3"/>
    <w:rsid w:val="00EF30E8"/>
    <w:rsid w:val="00EF3426"/>
    <w:rsid w:val="00EF34E1"/>
    <w:rsid w:val="00EF356C"/>
    <w:rsid w:val="00EF3612"/>
    <w:rsid w:val="00EF373C"/>
    <w:rsid w:val="00EF37EB"/>
    <w:rsid w:val="00EF3AF7"/>
    <w:rsid w:val="00EF3B5F"/>
    <w:rsid w:val="00EF3C74"/>
    <w:rsid w:val="00EF3FF2"/>
    <w:rsid w:val="00EF463F"/>
    <w:rsid w:val="00EF4770"/>
    <w:rsid w:val="00EF48DE"/>
    <w:rsid w:val="00EF4B60"/>
    <w:rsid w:val="00EF4B7E"/>
    <w:rsid w:val="00EF4BA1"/>
    <w:rsid w:val="00EF4C2C"/>
    <w:rsid w:val="00EF4E04"/>
    <w:rsid w:val="00EF4F8B"/>
    <w:rsid w:val="00EF511E"/>
    <w:rsid w:val="00EF512E"/>
    <w:rsid w:val="00EF5298"/>
    <w:rsid w:val="00EF56B9"/>
    <w:rsid w:val="00EF5875"/>
    <w:rsid w:val="00EF58C0"/>
    <w:rsid w:val="00EF5913"/>
    <w:rsid w:val="00EF5CF6"/>
    <w:rsid w:val="00EF6194"/>
    <w:rsid w:val="00EF61B2"/>
    <w:rsid w:val="00EF61B7"/>
    <w:rsid w:val="00EF6323"/>
    <w:rsid w:val="00EF637F"/>
    <w:rsid w:val="00EF654C"/>
    <w:rsid w:val="00EF658E"/>
    <w:rsid w:val="00EF68D2"/>
    <w:rsid w:val="00EF6A6D"/>
    <w:rsid w:val="00EF6B85"/>
    <w:rsid w:val="00EF6BDA"/>
    <w:rsid w:val="00EF6D35"/>
    <w:rsid w:val="00EF6D3C"/>
    <w:rsid w:val="00EF6F03"/>
    <w:rsid w:val="00EF6F6E"/>
    <w:rsid w:val="00EF6FAB"/>
    <w:rsid w:val="00EF70CA"/>
    <w:rsid w:val="00EF710B"/>
    <w:rsid w:val="00EF7127"/>
    <w:rsid w:val="00EF71E8"/>
    <w:rsid w:val="00EF72C5"/>
    <w:rsid w:val="00EF74E7"/>
    <w:rsid w:val="00EF7520"/>
    <w:rsid w:val="00EF757B"/>
    <w:rsid w:val="00EF759B"/>
    <w:rsid w:val="00EF775C"/>
    <w:rsid w:val="00EF7814"/>
    <w:rsid w:val="00EF78D1"/>
    <w:rsid w:val="00EF796B"/>
    <w:rsid w:val="00EF7A85"/>
    <w:rsid w:val="00EF7B12"/>
    <w:rsid w:val="00EF7B8A"/>
    <w:rsid w:val="00EF7C6A"/>
    <w:rsid w:val="00EF7CF2"/>
    <w:rsid w:val="00EF7D74"/>
    <w:rsid w:val="00EF7DF7"/>
    <w:rsid w:val="00EF7FBB"/>
    <w:rsid w:val="00F001E9"/>
    <w:rsid w:val="00F0026D"/>
    <w:rsid w:val="00F003EA"/>
    <w:rsid w:val="00F00411"/>
    <w:rsid w:val="00F00589"/>
    <w:rsid w:val="00F005FB"/>
    <w:rsid w:val="00F0063C"/>
    <w:rsid w:val="00F007C4"/>
    <w:rsid w:val="00F00854"/>
    <w:rsid w:val="00F009D0"/>
    <w:rsid w:val="00F00AD1"/>
    <w:rsid w:val="00F00C7F"/>
    <w:rsid w:val="00F00D06"/>
    <w:rsid w:val="00F00EB0"/>
    <w:rsid w:val="00F00F5C"/>
    <w:rsid w:val="00F01120"/>
    <w:rsid w:val="00F01179"/>
    <w:rsid w:val="00F011A3"/>
    <w:rsid w:val="00F01336"/>
    <w:rsid w:val="00F0139C"/>
    <w:rsid w:val="00F0146F"/>
    <w:rsid w:val="00F01623"/>
    <w:rsid w:val="00F01664"/>
    <w:rsid w:val="00F01745"/>
    <w:rsid w:val="00F018FF"/>
    <w:rsid w:val="00F01A3B"/>
    <w:rsid w:val="00F01A9E"/>
    <w:rsid w:val="00F01AC2"/>
    <w:rsid w:val="00F01C1B"/>
    <w:rsid w:val="00F01F61"/>
    <w:rsid w:val="00F02081"/>
    <w:rsid w:val="00F0211E"/>
    <w:rsid w:val="00F025B6"/>
    <w:rsid w:val="00F027CD"/>
    <w:rsid w:val="00F0292C"/>
    <w:rsid w:val="00F02A2D"/>
    <w:rsid w:val="00F02CB1"/>
    <w:rsid w:val="00F02DC4"/>
    <w:rsid w:val="00F02F64"/>
    <w:rsid w:val="00F02FBD"/>
    <w:rsid w:val="00F0304A"/>
    <w:rsid w:val="00F030D8"/>
    <w:rsid w:val="00F030E5"/>
    <w:rsid w:val="00F03176"/>
    <w:rsid w:val="00F03195"/>
    <w:rsid w:val="00F03242"/>
    <w:rsid w:val="00F03451"/>
    <w:rsid w:val="00F034D9"/>
    <w:rsid w:val="00F034EA"/>
    <w:rsid w:val="00F03512"/>
    <w:rsid w:val="00F0372A"/>
    <w:rsid w:val="00F037C9"/>
    <w:rsid w:val="00F03A8B"/>
    <w:rsid w:val="00F03A9D"/>
    <w:rsid w:val="00F03BE3"/>
    <w:rsid w:val="00F03C3D"/>
    <w:rsid w:val="00F03E0F"/>
    <w:rsid w:val="00F03E71"/>
    <w:rsid w:val="00F03E8C"/>
    <w:rsid w:val="00F041A7"/>
    <w:rsid w:val="00F0427D"/>
    <w:rsid w:val="00F0438B"/>
    <w:rsid w:val="00F04503"/>
    <w:rsid w:val="00F045BA"/>
    <w:rsid w:val="00F045DC"/>
    <w:rsid w:val="00F0468C"/>
    <w:rsid w:val="00F046A9"/>
    <w:rsid w:val="00F04716"/>
    <w:rsid w:val="00F0483A"/>
    <w:rsid w:val="00F04AE9"/>
    <w:rsid w:val="00F04C66"/>
    <w:rsid w:val="00F04DA1"/>
    <w:rsid w:val="00F04E06"/>
    <w:rsid w:val="00F050AB"/>
    <w:rsid w:val="00F050E9"/>
    <w:rsid w:val="00F0536E"/>
    <w:rsid w:val="00F0569E"/>
    <w:rsid w:val="00F056ED"/>
    <w:rsid w:val="00F0589C"/>
    <w:rsid w:val="00F05BD9"/>
    <w:rsid w:val="00F05CA8"/>
    <w:rsid w:val="00F05D92"/>
    <w:rsid w:val="00F05EA5"/>
    <w:rsid w:val="00F05F9B"/>
    <w:rsid w:val="00F063AA"/>
    <w:rsid w:val="00F06462"/>
    <w:rsid w:val="00F064F8"/>
    <w:rsid w:val="00F06602"/>
    <w:rsid w:val="00F06B75"/>
    <w:rsid w:val="00F06DE5"/>
    <w:rsid w:val="00F07024"/>
    <w:rsid w:val="00F0707D"/>
    <w:rsid w:val="00F0730F"/>
    <w:rsid w:val="00F0732C"/>
    <w:rsid w:val="00F0739F"/>
    <w:rsid w:val="00F075FF"/>
    <w:rsid w:val="00F076F5"/>
    <w:rsid w:val="00F07ABF"/>
    <w:rsid w:val="00F07E6D"/>
    <w:rsid w:val="00F07E75"/>
    <w:rsid w:val="00F103E8"/>
    <w:rsid w:val="00F10490"/>
    <w:rsid w:val="00F105EB"/>
    <w:rsid w:val="00F10765"/>
    <w:rsid w:val="00F10B4E"/>
    <w:rsid w:val="00F10B5B"/>
    <w:rsid w:val="00F10B9C"/>
    <w:rsid w:val="00F10E21"/>
    <w:rsid w:val="00F10E67"/>
    <w:rsid w:val="00F10FD1"/>
    <w:rsid w:val="00F11059"/>
    <w:rsid w:val="00F110EF"/>
    <w:rsid w:val="00F111D0"/>
    <w:rsid w:val="00F1120B"/>
    <w:rsid w:val="00F11235"/>
    <w:rsid w:val="00F1138F"/>
    <w:rsid w:val="00F11408"/>
    <w:rsid w:val="00F115F4"/>
    <w:rsid w:val="00F116E0"/>
    <w:rsid w:val="00F116F3"/>
    <w:rsid w:val="00F11943"/>
    <w:rsid w:val="00F11A3B"/>
    <w:rsid w:val="00F11B14"/>
    <w:rsid w:val="00F11B8A"/>
    <w:rsid w:val="00F11D2F"/>
    <w:rsid w:val="00F11FC3"/>
    <w:rsid w:val="00F11FFA"/>
    <w:rsid w:val="00F12325"/>
    <w:rsid w:val="00F12457"/>
    <w:rsid w:val="00F12841"/>
    <w:rsid w:val="00F12890"/>
    <w:rsid w:val="00F128BC"/>
    <w:rsid w:val="00F12C4C"/>
    <w:rsid w:val="00F12C69"/>
    <w:rsid w:val="00F12C9C"/>
    <w:rsid w:val="00F12D55"/>
    <w:rsid w:val="00F12DFD"/>
    <w:rsid w:val="00F1306D"/>
    <w:rsid w:val="00F131C8"/>
    <w:rsid w:val="00F13220"/>
    <w:rsid w:val="00F1357D"/>
    <w:rsid w:val="00F13735"/>
    <w:rsid w:val="00F1377D"/>
    <w:rsid w:val="00F138D8"/>
    <w:rsid w:val="00F1411C"/>
    <w:rsid w:val="00F141DB"/>
    <w:rsid w:val="00F141FF"/>
    <w:rsid w:val="00F14263"/>
    <w:rsid w:val="00F14381"/>
    <w:rsid w:val="00F143ED"/>
    <w:rsid w:val="00F1469F"/>
    <w:rsid w:val="00F14847"/>
    <w:rsid w:val="00F148ED"/>
    <w:rsid w:val="00F14A72"/>
    <w:rsid w:val="00F14AEC"/>
    <w:rsid w:val="00F14BA7"/>
    <w:rsid w:val="00F14D5A"/>
    <w:rsid w:val="00F14D95"/>
    <w:rsid w:val="00F14F3B"/>
    <w:rsid w:val="00F14F91"/>
    <w:rsid w:val="00F15010"/>
    <w:rsid w:val="00F1505B"/>
    <w:rsid w:val="00F150AD"/>
    <w:rsid w:val="00F150C3"/>
    <w:rsid w:val="00F1523A"/>
    <w:rsid w:val="00F152EA"/>
    <w:rsid w:val="00F15382"/>
    <w:rsid w:val="00F153C5"/>
    <w:rsid w:val="00F153D3"/>
    <w:rsid w:val="00F15404"/>
    <w:rsid w:val="00F154C3"/>
    <w:rsid w:val="00F157C8"/>
    <w:rsid w:val="00F1580F"/>
    <w:rsid w:val="00F15B1F"/>
    <w:rsid w:val="00F15F9B"/>
    <w:rsid w:val="00F162D0"/>
    <w:rsid w:val="00F16397"/>
    <w:rsid w:val="00F16429"/>
    <w:rsid w:val="00F16492"/>
    <w:rsid w:val="00F166BB"/>
    <w:rsid w:val="00F167FD"/>
    <w:rsid w:val="00F1687F"/>
    <w:rsid w:val="00F16974"/>
    <w:rsid w:val="00F16E31"/>
    <w:rsid w:val="00F17078"/>
    <w:rsid w:val="00F17222"/>
    <w:rsid w:val="00F174AE"/>
    <w:rsid w:val="00F1750C"/>
    <w:rsid w:val="00F179A6"/>
    <w:rsid w:val="00F17A67"/>
    <w:rsid w:val="00F17A93"/>
    <w:rsid w:val="00F17BD0"/>
    <w:rsid w:val="00F17BF9"/>
    <w:rsid w:val="00F17D91"/>
    <w:rsid w:val="00F17EE5"/>
    <w:rsid w:val="00F200EA"/>
    <w:rsid w:val="00F202A5"/>
    <w:rsid w:val="00F20471"/>
    <w:rsid w:val="00F20568"/>
    <w:rsid w:val="00F2058B"/>
    <w:rsid w:val="00F2061A"/>
    <w:rsid w:val="00F20696"/>
    <w:rsid w:val="00F206D5"/>
    <w:rsid w:val="00F207B0"/>
    <w:rsid w:val="00F207D7"/>
    <w:rsid w:val="00F209D1"/>
    <w:rsid w:val="00F20ADB"/>
    <w:rsid w:val="00F20C8C"/>
    <w:rsid w:val="00F21222"/>
    <w:rsid w:val="00F213BB"/>
    <w:rsid w:val="00F21425"/>
    <w:rsid w:val="00F217F3"/>
    <w:rsid w:val="00F21808"/>
    <w:rsid w:val="00F21BED"/>
    <w:rsid w:val="00F21CD3"/>
    <w:rsid w:val="00F21D60"/>
    <w:rsid w:val="00F21D8D"/>
    <w:rsid w:val="00F22051"/>
    <w:rsid w:val="00F221DF"/>
    <w:rsid w:val="00F2223C"/>
    <w:rsid w:val="00F223B8"/>
    <w:rsid w:val="00F2246E"/>
    <w:rsid w:val="00F228E8"/>
    <w:rsid w:val="00F22B90"/>
    <w:rsid w:val="00F22EED"/>
    <w:rsid w:val="00F231EA"/>
    <w:rsid w:val="00F23232"/>
    <w:rsid w:val="00F23328"/>
    <w:rsid w:val="00F234A8"/>
    <w:rsid w:val="00F23939"/>
    <w:rsid w:val="00F23A4D"/>
    <w:rsid w:val="00F23BA0"/>
    <w:rsid w:val="00F23BCF"/>
    <w:rsid w:val="00F23DE1"/>
    <w:rsid w:val="00F24102"/>
    <w:rsid w:val="00F2423A"/>
    <w:rsid w:val="00F24355"/>
    <w:rsid w:val="00F24AB6"/>
    <w:rsid w:val="00F24BEB"/>
    <w:rsid w:val="00F24C3D"/>
    <w:rsid w:val="00F24E2F"/>
    <w:rsid w:val="00F250DD"/>
    <w:rsid w:val="00F25188"/>
    <w:rsid w:val="00F252AA"/>
    <w:rsid w:val="00F2546A"/>
    <w:rsid w:val="00F25668"/>
    <w:rsid w:val="00F25923"/>
    <w:rsid w:val="00F259AB"/>
    <w:rsid w:val="00F25B2E"/>
    <w:rsid w:val="00F25F0E"/>
    <w:rsid w:val="00F26124"/>
    <w:rsid w:val="00F261D7"/>
    <w:rsid w:val="00F2622C"/>
    <w:rsid w:val="00F263A9"/>
    <w:rsid w:val="00F26409"/>
    <w:rsid w:val="00F2644D"/>
    <w:rsid w:val="00F268A7"/>
    <w:rsid w:val="00F26900"/>
    <w:rsid w:val="00F26A16"/>
    <w:rsid w:val="00F26AA6"/>
    <w:rsid w:val="00F26B24"/>
    <w:rsid w:val="00F26C51"/>
    <w:rsid w:val="00F26C57"/>
    <w:rsid w:val="00F26E23"/>
    <w:rsid w:val="00F26E8A"/>
    <w:rsid w:val="00F271DF"/>
    <w:rsid w:val="00F272D1"/>
    <w:rsid w:val="00F272EF"/>
    <w:rsid w:val="00F275E8"/>
    <w:rsid w:val="00F2766D"/>
    <w:rsid w:val="00F276BE"/>
    <w:rsid w:val="00F278AA"/>
    <w:rsid w:val="00F2797B"/>
    <w:rsid w:val="00F27A3A"/>
    <w:rsid w:val="00F27B41"/>
    <w:rsid w:val="00F27DF4"/>
    <w:rsid w:val="00F3006E"/>
    <w:rsid w:val="00F302B1"/>
    <w:rsid w:val="00F3038B"/>
    <w:rsid w:val="00F30470"/>
    <w:rsid w:val="00F30471"/>
    <w:rsid w:val="00F304DF"/>
    <w:rsid w:val="00F3066C"/>
    <w:rsid w:val="00F306BE"/>
    <w:rsid w:val="00F306F5"/>
    <w:rsid w:val="00F30775"/>
    <w:rsid w:val="00F30783"/>
    <w:rsid w:val="00F307AD"/>
    <w:rsid w:val="00F30A38"/>
    <w:rsid w:val="00F30F7B"/>
    <w:rsid w:val="00F3109F"/>
    <w:rsid w:val="00F310A0"/>
    <w:rsid w:val="00F31137"/>
    <w:rsid w:val="00F311E4"/>
    <w:rsid w:val="00F31251"/>
    <w:rsid w:val="00F312A1"/>
    <w:rsid w:val="00F312D0"/>
    <w:rsid w:val="00F31378"/>
    <w:rsid w:val="00F31600"/>
    <w:rsid w:val="00F316F9"/>
    <w:rsid w:val="00F3178E"/>
    <w:rsid w:val="00F31855"/>
    <w:rsid w:val="00F31990"/>
    <w:rsid w:val="00F31A2B"/>
    <w:rsid w:val="00F31A6B"/>
    <w:rsid w:val="00F31B75"/>
    <w:rsid w:val="00F31C43"/>
    <w:rsid w:val="00F31C82"/>
    <w:rsid w:val="00F31E27"/>
    <w:rsid w:val="00F31FB3"/>
    <w:rsid w:val="00F3200D"/>
    <w:rsid w:val="00F323D0"/>
    <w:rsid w:val="00F323E8"/>
    <w:rsid w:val="00F32496"/>
    <w:rsid w:val="00F324CB"/>
    <w:rsid w:val="00F32554"/>
    <w:rsid w:val="00F32893"/>
    <w:rsid w:val="00F32D76"/>
    <w:rsid w:val="00F32E65"/>
    <w:rsid w:val="00F33070"/>
    <w:rsid w:val="00F334C5"/>
    <w:rsid w:val="00F3361B"/>
    <w:rsid w:val="00F336CC"/>
    <w:rsid w:val="00F336DC"/>
    <w:rsid w:val="00F3373E"/>
    <w:rsid w:val="00F33836"/>
    <w:rsid w:val="00F338F0"/>
    <w:rsid w:val="00F33928"/>
    <w:rsid w:val="00F33C94"/>
    <w:rsid w:val="00F33FB6"/>
    <w:rsid w:val="00F340FD"/>
    <w:rsid w:val="00F34561"/>
    <w:rsid w:val="00F346DF"/>
    <w:rsid w:val="00F347A0"/>
    <w:rsid w:val="00F34ABF"/>
    <w:rsid w:val="00F34BDE"/>
    <w:rsid w:val="00F34C2C"/>
    <w:rsid w:val="00F34C34"/>
    <w:rsid w:val="00F3508E"/>
    <w:rsid w:val="00F35099"/>
    <w:rsid w:val="00F350FD"/>
    <w:rsid w:val="00F3514F"/>
    <w:rsid w:val="00F3516A"/>
    <w:rsid w:val="00F35477"/>
    <w:rsid w:val="00F355F8"/>
    <w:rsid w:val="00F35623"/>
    <w:rsid w:val="00F35665"/>
    <w:rsid w:val="00F35920"/>
    <w:rsid w:val="00F35A33"/>
    <w:rsid w:val="00F35A7B"/>
    <w:rsid w:val="00F35C91"/>
    <w:rsid w:val="00F35CC3"/>
    <w:rsid w:val="00F35D0B"/>
    <w:rsid w:val="00F35E20"/>
    <w:rsid w:val="00F3618F"/>
    <w:rsid w:val="00F361C8"/>
    <w:rsid w:val="00F36447"/>
    <w:rsid w:val="00F36563"/>
    <w:rsid w:val="00F36734"/>
    <w:rsid w:val="00F3684A"/>
    <w:rsid w:val="00F36A46"/>
    <w:rsid w:val="00F36A78"/>
    <w:rsid w:val="00F36C0A"/>
    <w:rsid w:val="00F36E07"/>
    <w:rsid w:val="00F36EA0"/>
    <w:rsid w:val="00F36EBD"/>
    <w:rsid w:val="00F36F82"/>
    <w:rsid w:val="00F36FE4"/>
    <w:rsid w:val="00F37036"/>
    <w:rsid w:val="00F370C9"/>
    <w:rsid w:val="00F370FE"/>
    <w:rsid w:val="00F3719C"/>
    <w:rsid w:val="00F3731D"/>
    <w:rsid w:val="00F373B9"/>
    <w:rsid w:val="00F37463"/>
    <w:rsid w:val="00F37592"/>
    <w:rsid w:val="00F37694"/>
    <w:rsid w:val="00F37838"/>
    <w:rsid w:val="00F37B8D"/>
    <w:rsid w:val="00F400A1"/>
    <w:rsid w:val="00F40180"/>
    <w:rsid w:val="00F401D0"/>
    <w:rsid w:val="00F401E6"/>
    <w:rsid w:val="00F40405"/>
    <w:rsid w:val="00F4054B"/>
    <w:rsid w:val="00F406A1"/>
    <w:rsid w:val="00F40933"/>
    <w:rsid w:val="00F40D8B"/>
    <w:rsid w:val="00F40F40"/>
    <w:rsid w:val="00F41239"/>
    <w:rsid w:val="00F41259"/>
    <w:rsid w:val="00F4148E"/>
    <w:rsid w:val="00F415B9"/>
    <w:rsid w:val="00F41637"/>
    <w:rsid w:val="00F4183A"/>
    <w:rsid w:val="00F41A18"/>
    <w:rsid w:val="00F41ACB"/>
    <w:rsid w:val="00F41B9B"/>
    <w:rsid w:val="00F41BA1"/>
    <w:rsid w:val="00F41BC5"/>
    <w:rsid w:val="00F41C56"/>
    <w:rsid w:val="00F41EBB"/>
    <w:rsid w:val="00F41EC9"/>
    <w:rsid w:val="00F42199"/>
    <w:rsid w:val="00F422C8"/>
    <w:rsid w:val="00F42364"/>
    <w:rsid w:val="00F424E6"/>
    <w:rsid w:val="00F4265C"/>
    <w:rsid w:val="00F4269A"/>
    <w:rsid w:val="00F426D8"/>
    <w:rsid w:val="00F42C9F"/>
    <w:rsid w:val="00F42F5B"/>
    <w:rsid w:val="00F42F9B"/>
    <w:rsid w:val="00F432A3"/>
    <w:rsid w:val="00F433AB"/>
    <w:rsid w:val="00F433D6"/>
    <w:rsid w:val="00F437AF"/>
    <w:rsid w:val="00F43B72"/>
    <w:rsid w:val="00F43D82"/>
    <w:rsid w:val="00F43DA1"/>
    <w:rsid w:val="00F43DA3"/>
    <w:rsid w:val="00F43E6F"/>
    <w:rsid w:val="00F43E73"/>
    <w:rsid w:val="00F43E87"/>
    <w:rsid w:val="00F43EB9"/>
    <w:rsid w:val="00F43F78"/>
    <w:rsid w:val="00F44252"/>
    <w:rsid w:val="00F44387"/>
    <w:rsid w:val="00F44408"/>
    <w:rsid w:val="00F4441D"/>
    <w:rsid w:val="00F4448D"/>
    <w:rsid w:val="00F4458B"/>
    <w:rsid w:val="00F44707"/>
    <w:rsid w:val="00F44AD0"/>
    <w:rsid w:val="00F44B81"/>
    <w:rsid w:val="00F44C47"/>
    <w:rsid w:val="00F44F14"/>
    <w:rsid w:val="00F454AC"/>
    <w:rsid w:val="00F454AF"/>
    <w:rsid w:val="00F45797"/>
    <w:rsid w:val="00F457F3"/>
    <w:rsid w:val="00F458AD"/>
    <w:rsid w:val="00F45AC5"/>
    <w:rsid w:val="00F45C0D"/>
    <w:rsid w:val="00F45CC1"/>
    <w:rsid w:val="00F45D16"/>
    <w:rsid w:val="00F45F88"/>
    <w:rsid w:val="00F46074"/>
    <w:rsid w:val="00F461C8"/>
    <w:rsid w:val="00F46232"/>
    <w:rsid w:val="00F462EF"/>
    <w:rsid w:val="00F46855"/>
    <w:rsid w:val="00F4687D"/>
    <w:rsid w:val="00F46B2B"/>
    <w:rsid w:val="00F46B42"/>
    <w:rsid w:val="00F46CA4"/>
    <w:rsid w:val="00F46CF3"/>
    <w:rsid w:val="00F46CFB"/>
    <w:rsid w:val="00F46D91"/>
    <w:rsid w:val="00F46FF4"/>
    <w:rsid w:val="00F470B1"/>
    <w:rsid w:val="00F47277"/>
    <w:rsid w:val="00F47CC5"/>
    <w:rsid w:val="00F47CE4"/>
    <w:rsid w:val="00F500AF"/>
    <w:rsid w:val="00F504F7"/>
    <w:rsid w:val="00F50562"/>
    <w:rsid w:val="00F509DE"/>
    <w:rsid w:val="00F50A75"/>
    <w:rsid w:val="00F50B11"/>
    <w:rsid w:val="00F50B5C"/>
    <w:rsid w:val="00F50BCE"/>
    <w:rsid w:val="00F50C39"/>
    <w:rsid w:val="00F50CCF"/>
    <w:rsid w:val="00F51100"/>
    <w:rsid w:val="00F513EA"/>
    <w:rsid w:val="00F51570"/>
    <w:rsid w:val="00F51788"/>
    <w:rsid w:val="00F518E7"/>
    <w:rsid w:val="00F51C57"/>
    <w:rsid w:val="00F51CEB"/>
    <w:rsid w:val="00F51D11"/>
    <w:rsid w:val="00F52025"/>
    <w:rsid w:val="00F521DA"/>
    <w:rsid w:val="00F52429"/>
    <w:rsid w:val="00F5257C"/>
    <w:rsid w:val="00F52AE6"/>
    <w:rsid w:val="00F52B66"/>
    <w:rsid w:val="00F52D16"/>
    <w:rsid w:val="00F52E78"/>
    <w:rsid w:val="00F53166"/>
    <w:rsid w:val="00F53261"/>
    <w:rsid w:val="00F5355C"/>
    <w:rsid w:val="00F53587"/>
    <w:rsid w:val="00F5372C"/>
    <w:rsid w:val="00F53748"/>
    <w:rsid w:val="00F53758"/>
    <w:rsid w:val="00F53B15"/>
    <w:rsid w:val="00F53B1B"/>
    <w:rsid w:val="00F53B34"/>
    <w:rsid w:val="00F53C5D"/>
    <w:rsid w:val="00F53ED8"/>
    <w:rsid w:val="00F54070"/>
    <w:rsid w:val="00F54101"/>
    <w:rsid w:val="00F5422D"/>
    <w:rsid w:val="00F54322"/>
    <w:rsid w:val="00F5433C"/>
    <w:rsid w:val="00F54601"/>
    <w:rsid w:val="00F54785"/>
    <w:rsid w:val="00F547CD"/>
    <w:rsid w:val="00F547F3"/>
    <w:rsid w:val="00F548C1"/>
    <w:rsid w:val="00F54AC0"/>
    <w:rsid w:val="00F54AE8"/>
    <w:rsid w:val="00F54D1B"/>
    <w:rsid w:val="00F5507D"/>
    <w:rsid w:val="00F553F7"/>
    <w:rsid w:val="00F5547A"/>
    <w:rsid w:val="00F55491"/>
    <w:rsid w:val="00F554E1"/>
    <w:rsid w:val="00F55557"/>
    <w:rsid w:val="00F556ED"/>
    <w:rsid w:val="00F5594C"/>
    <w:rsid w:val="00F55960"/>
    <w:rsid w:val="00F55AC0"/>
    <w:rsid w:val="00F55BBB"/>
    <w:rsid w:val="00F55C9F"/>
    <w:rsid w:val="00F55D9A"/>
    <w:rsid w:val="00F55E1F"/>
    <w:rsid w:val="00F55FE3"/>
    <w:rsid w:val="00F566AB"/>
    <w:rsid w:val="00F5680F"/>
    <w:rsid w:val="00F568C2"/>
    <w:rsid w:val="00F5691D"/>
    <w:rsid w:val="00F56922"/>
    <w:rsid w:val="00F56991"/>
    <w:rsid w:val="00F56BCA"/>
    <w:rsid w:val="00F56C41"/>
    <w:rsid w:val="00F56C4B"/>
    <w:rsid w:val="00F56E22"/>
    <w:rsid w:val="00F57559"/>
    <w:rsid w:val="00F57648"/>
    <w:rsid w:val="00F5793F"/>
    <w:rsid w:val="00F57C6B"/>
    <w:rsid w:val="00F57C96"/>
    <w:rsid w:val="00F60027"/>
    <w:rsid w:val="00F60253"/>
    <w:rsid w:val="00F606EB"/>
    <w:rsid w:val="00F60816"/>
    <w:rsid w:val="00F60868"/>
    <w:rsid w:val="00F6088E"/>
    <w:rsid w:val="00F60CCA"/>
    <w:rsid w:val="00F60D43"/>
    <w:rsid w:val="00F60DB5"/>
    <w:rsid w:val="00F60F75"/>
    <w:rsid w:val="00F61328"/>
    <w:rsid w:val="00F614CA"/>
    <w:rsid w:val="00F6185A"/>
    <w:rsid w:val="00F61903"/>
    <w:rsid w:val="00F6197F"/>
    <w:rsid w:val="00F61D2C"/>
    <w:rsid w:val="00F61DDD"/>
    <w:rsid w:val="00F62287"/>
    <w:rsid w:val="00F6239B"/>
    <w:rsid w:val="00F6242E"/>
    <w:rsid w:val="00F6256A"/>
    <w:rsid w:val="00F625B4"/>
    <w:rsid w:val="00F62916"/>
    <w:rsid w:val="00F62A04"/>
    <w:rsid w:val="00F62CAB"/>
    <w:rsid w:val="00F62F14"/>
    <w:rsid w:val="00F63097"/>
    <w:rsid w:val="00F631C9"/>
    <w:rsid w:val="00F6330E"/>
    <w:rsid w:val="00F6359F"/>
    <w:rsid w:val="00F636AC"/>
    <w:rsid w:val="00F63982"/>
    <w:rsid w:val="00F63ADC"/>
    <w:rsid w:val="00F63E97"/>
    <w:rsid w:val="00F64049"/>
    <w:rsid w:val="00F6406A"/>
    <w:rsid w:val="00F6407F"/>
    <w:rsid w:val="00F64114"/>
    <w:rsid w:val="00F6413B"/>
    <w:rsid w:val="00F644ED"/>
    <w:rsid w:val="00F64561"/>
    <w:rsid w:val="00F64574"/>
    <w:rsid w:val="00F6457A"/>
    <w:rsid w:val="00F64715"/>
    <w:rsid w:val="00F648B9"/>
    <w:rsid w:val="00F64990"/>
    <w:rsid w:val="00F649F9"/>
    <w:rsid w:val="00F64A8F"/>
    <w:rsid w:val="00F64DDD"/>
    <w:rsid w:val="00F64DE5"/>
    <w:rsid w:val="00F650D8"/>
    <w:rsid w:val="00F65201"/>
    <w:rsid w:val="00F6526F"/>
    <w:rsid w:val="00F652BC"/>
    <w:rsid w:val="00F6546F"/>
    <w:rsid w:val="00F65699"/>
    <w:rsid w:val="00F6571B"/>
    <w:rsid w:val="00F6574C"/>
    <w:rsid w:val="00F659A6"/>
    <w:rsid w:val="00F659FA"/>
    <w:rsid w:val="00F65A60"/>
    <w:rsid w:val="00F65BB5"/>
    <w:rsid w:val="00F65C54"/>
    <w:rsid w:val="00F65CF6"/>
    <w:rsid w:val="00F65E81"/>
    <w:rsid w:val="00F65E95"/>
    <w:rsid w:val="00F65EC6"/>
    <w:rsid w:val="00F65F22"/>
    <w:rsid w:val="00F66305"/>
    <w:rsid w:val="00F6643E"/>
    <w:rsid w:val="00F66500"/>
    <w:rsid w:val="00F66565"/>
    <w:rsid w:val="00F669EA"/>
    <w:rsid w:val="00F66A8D"/>
    <w:rsid w:val="00F66B0E"/>
    <w:rsid w:val="00F66BF3"/>
    <w:rsid w:val="00F66C2C"/>
    <w:rsid w:val="00F66CFA"/>
    <w:rsid w:val="00F66DA1"/>
    <w:rsid w:val="00F66F49"/>
    <w:rsid w:val="00F67104"/>
    <w:rsid w:val="00F67225"/>
    <w:rsid w:val="00F67425"/>
    <w:rsid w:val="00F67458"/>
    <w:rsid w:val="00F67493"/>
    <w:rsid w:val="00F6768C"/>
    <w:rsid w:val="00F676DD"/>
    <w:rsid w:val="00F6778F"/>
    <w:rsid w:val="00F67C00"/>
    <w:rsid w:val="00F67D18"/>
    <w:rsid w:val="00F67DBA"/>
    <w:rsid w:val="00F67DD3"/>
    <w:rsid w:val="00F67E2E"/>
    <w:rsid w:val="00F67E37"/>
    <w:rsid w:val="00F700E6"/>
    <w:rsid w:val="00F7041F"/>
    <w:rsid w:val="00F70477"/>
    <w:rsid w:val="00F70673"/>
    <w:rsid w:val="00F7077C"/>
    <w:rsid w:val="00F70798"/>
    <w:rsid w:val="00F7088A"/>
    <w:rsid w:val="00F70BF0"/>
    <w:rsid w:val="00F70C41"/>
    <w:rsid w:val="00F70EFB"/>
    <w:rsid w:val="00F70F0B"/>
    <w:rsid w:val="00F70F12"/>
    <w:rsid w:val="00F70FBA"/>
    <w:rsid w:val="00F711E3"/>
    <w:rsid w:val="00F714B8"/>
    <w:rsid w:val="00F714E5"/>
    <w:rsid w:val="00F71637"/>
    <w:rsid w:val="00F71694"/>
    <w:rsid w:val="00F717B2"/>
    <w:rsid w:val="00F71A25"/>
    <w:rsid w:val="00F71AB1"/>
    <w:rsid w:val="00F71CBA"/>
    <w:rsid w:val="00F71D4E"/>
    <w:rsid w:val="00F71E44"/>
    <w:rsid w:val="00F71FCB"/>
    <w:rsid w:val="00F721B2"/>
    <w:rsid w:val="00F724EA"/>
    <w:rsid w:val="00F72606"/>
    <w:rsid w:val="00F72DEB"/>
    <w:rsid w:val="00F72EA6"/>
    <w:rsid w:val="00F72EF0"/>
    <w:rsid w:val="00F72EFE"/>
    <w:rsid w:val="00F7300B"/>
    <w:rsid w:val="00F73036"/>
    <w:rsid w:val="00F73661"/>
    <w:rsid w:val="00F736E7"/>
    <w:rsid w:val="00F73711"/>
    <w:rsid w:val="00F738C6"/>
    <w:rsid w:val="00F73A44"/>
    <w:rsid w:val="00F73ACD"/>
    <w:rsid w:val="00F73DD2"/>
    <w:rsid w:val="00F73DF2"/>
    <w:rsid w:val="00F73FE0"/>
    <w:rsid w:val="00F7409D"/>
    <w:rsid w:val="00F740FD"/>
    <w:rsid w:val="00F741AD"/>
    <w:rsid w:val="00F741B8"/>
    <w:rsid w:val="00F74206"/>
    <w:rsid w:val="00F74326"/>
    <w:rsid w:val="00F743D4"/>
    <w:rsid w:val="00F7444C"/>
    <w:rsid w:val="00F74552"/>
    <w:rsid w:val="00F747A6"/>
    <w:rsid w:val="00F74A77"/>
    <w:rsid w:val="00F74BB4"/>
    <w:rsid w:val="00F74BF1"/>
    <w:rsid w:val="00F74CC8"/>
    <w:rsid w:val="00F74D60"/>
    <w:rsid w:val="00F75377"/>
    <w:rsid w:val="00F753E9"/>
    <w:rsid w:val="00F754B7"/>
    <w:rsid w:val="00F75693"/>
    <w:rsid w:val="00F756D9"/>
    <w:rsid w:val="00F757B7"/>
    <w:rsid w:val="00F75A52"/>
    <w:rsid w:val="00F75BD0"/>
    <w:rsid w:val="00F75D9F"/>
    <w:rsid w:val="00F75EC3"/>
    <w:rsid w:val="00F75EF6"/>
    <w:rsid w:val="00F75F32"/>
    <w:rsid w:val="00F75FE9"/>
    <w:rsid w:val="00F7641A"/>
    <w:rsid w:val="00F764BF"/>
    <w:rsid w:val="00F7661A"/>
    <w:rsid w:val="00F766BC"/>
    <w:rsid w:val="00F7681E"/>
    <w:rsid w:val="00F76A33"/>
    <w:rsid w:val="00F76B58"/>
    <w:rsid w:val="00F76D53"/>
    <w:rsid w:val="00F76D8B"/>
    <w:rsid w:val="00F76DE8"/>
    <w:rsid w:val="00F76F68"/>
    <w:rsid w:val="00F77120"/>
    <w:rsid w:val="00F774A6"/>
    <w:rsid w:val="00F776BC"/>
    <w:rsid w:val="00F77812"/>
    <w:rsid w:val="00F77912"/>
    <w:rsid w:val="00F779BB"/>
    <w:rsid w:val="00F77A46"/>
    <w:rsid w:val="00F77ADA"/>
    <w:rsid w:val="00F77C86"/>
    <w:rsid w:val="00F77CAD"/>
    <w:rsid w:val="00F77CD2"/>
    <w:rsid w:val="00F77E07"/>
    <w:rsid w:val="00F77E5E"/>
    <w:rsid w:val="00F77F21"/>
    <w:rsid w:val="00F8001C"/>
    <w:rsid w:val="00F8017A"/>
    <w:rsid w:val="00F80296"/>
    <w:rsid w:val="00F80373"/>
    <w:rsid w:val="00F80512"/>
    <w:rsid w:val="00F8064D"/>
    <w:rsid w:val="00F80739"/>
    <w:rsid w:val="00F809C8"/>
    <w:rsid w:val="00F80ACA"/>
    <w:rsid w:val="00F80D05"/>
    <w:rsid w:val="00F80D1E"/>
    <w:rsid w:val="00F80EB1"/>
    <w:rsid w:val="00F80F4C"/>
    <w:rsid w:val="00F813AD"/>
    <w:rsid w:val="00F813FF"/>
    <w:rsid w:val="00F814EC"/>
    <w:rsid w:val="00F8154C"/>
    <w:rsid w:val="00F81875"/>
    <w:rsid w:val="00F81B21"/>
    <w:rsid w:val="00F81B7A"/>
    <w:rsid w:val="00F81E22"/>
    <w:rsid w:val="00F81F9D"/>
    <w:rsid w:val="00F821A0"/>
    <w:rsid w:val="00F8239A"/>
    <w:rsid w:val="00F823F1"/>
    <w:rsid w:val="00F825F8"/>
    <w:rsid w:val="00F82610"/>
    <w:rsid w:val="00F826C6"/>
    <w:rsid w:val="00F82792"/>
    <w:rsid w:val="00F82AC6"/>
    <w:rsid w:val="00F82AF5"/>
    <w:rsid w:val="00F82BEC"/>
    <w:rsid w:val="00F82E22"/>
    <w:rsid w:val="00F82F5C"/>
    <w:rsid w:val="00F82F8E"/>
    <w:rsid w:val="00F82FD1"/>
    <w:rsid w:val="00F8306B"/>
    <w:rsid w:val="00F83234"/>
    <w:rsid w:val="00F83433"/>
    <w:rsid w:val="00F83604"/>
    <w:rsid w:val="00F83622"/>
    <w:rsid w:val="00F8367F"/>
    <w:rsid w:val="00F836F2"/>
    <w:rsid w:val="00F83719"/>
    <w:rsid w:val="00F837F0"/>
    <w:rsid w:val="00F8395C"/>
    <w:rsid w:val="00F839E4"/>
    <w:rsid w:val="00F83B21"/>
    <w:rsid w:val="00F83BBC"/>
    <w:rsid w:val="00F83E42"/>
    <w:rsid w:val="00F83F3D"/>
    <w:rsid w:val="00F84198"/>
    <w:rsid w:val="00F844EC"/>
    <w:rsid w:val="00F8461A"/>
    <w:rsid w:val="00F84692"/>
    <w:rsid w:val="00F847E8"/>
    <w:rsid w:val="00F8481C"/>
    <w:rsid w:val="00F8489C"/>
    <w:rsid w:val="00F84B7E"/>
    <w:rsid w:val="00F84DC3"/>
    <w:rsid w:val="00F84E45"/>
    <w:rsid w:val="00F84E62"/>
    <w:rsid w:val="00F85116"/>
    <w:rsid w:val="00F85150"/>
    <w:rsid w:val="00F8516C"/>
    <w:rsid w:val="00F85286"/>
    <w:rsid w:val="00F85394"/>
    <w:rsid w:val="00F853C6"/>
    <w:rsid w:val="00F85432"/>
    <w:rsid w:val="00F8549D"/>
    <w:rsid w:val="00F854B0"/>
    <w:rsid w:val="00F8558C"/>
    <w:rsid w:val="00F85725"/>
    <w:rsid w:val="00F85818"/>
    <w:rsid w:val="00F8582B"/>
    <w:rsid w:val="00F85991"/>
    <w:rsid w:val="00F85CB1"/>
    <w:rsid w:val="00F85E6C"/>
    <w:rsid w:val="00F85E7C"/>
    <w:rsid w:val="00F85F20"/>
    <w:rsid w:val="00F85F88"/>
    <w:rsid w:val="00F85FEA"/>
    <w:rsid w:val="00F8605A"/>
    <w:rsid w:val="00F8610F"/>
    <w:rsid w:val="00F861D6"/>
    <w:rsid w:val="00F86341"/>
    <w:rsid w:val="00F8652C"/>
    <w:rsid w:val="00F86549"/>
    <w:rsid w:val="00F8663F"/>
    <w:rsid w:val="00F8668C"/>
    <w:rsid w:val="00F86760"/>
    <w:rsid w:val="00F867CD"/>
    <w:rsid w:val="00F867F5"/>
    <w:rsid w:val="00F868FB"/>
    <w:rsid w:val="00F86A27"/>
    <w:rsid w:val="00F86B06"/>
    <w:rsid w:val="00F86BCC"/>
    <w:rsid w:val="00F86CFC"/>
    <w:rsid w:val="00F86E75"/>
    <w:rsid w:val="00F87303"/>
    <w:rsid w:val="00F87584"/>
    <w:rsid w:val="00F87B0E"/>
    <w:rsid w:val="00F87D65"/>
    <w:rsid w:val="00F87D7E"/>
    <w:rsid w:val="00F9001F"/>
    <w:rsid w:val="00F90163"/>
    <w:rsid w:val="00F902E2"/>
    <w:rsid w:val="00F903DC"/>
    <w:rsid w:val="00F904A4"/>
    <w:rsid w:val="00F9054B"/>
    <w:rsid w:val="00F905D1"/>
    <w:rsid w:val="00F9068B"/>
    <w:rsid w:val="00F9068F"/>
    <w:rsid w:val="00F9076C"/>
    <w:rsid w:val="00F90782"/>
    <w:rsid w:val="00F90971"/>
    <w:rsid w:val="00F909E0"/>
    <w:rsid w:val="00F90DE9"/>
    <w:rsid w:val="00F90DF3"/>
    <w:rsid w:val="00F90FCA"/>
    <w:rsid w:val="00F9101E"/>
    <w:rsid w:val="00F910D1"/>
    <w:rsid w:val="00F913C2"/>
    <w:rsid w:val="00F9156B"/>
    <w:rsid w:val="00F91587"/>
    <w:rsid w:val="00F91A3C"/>
    <w:rsid w:val="00F91C05"/>
    <w:rsid w:val="00F91D8D"/>
    <w:rsid w:val="00F91DCE"/>
    <w:rsid w:val="00F91EEC"/>
    <w:rsid w:val="00F91F7A"/>
    <w:rsid w:val="00F91FEE"/>
    <w:rsid w:val="00F92052"/>
    <w:rsid w:val="00F92070"/>
    <w:rsid w:val="00F9214C"/>
    <w:rsid w:val="00F923CB"/>
    <w:rsid w:val="00F9249B"/>
    <w:rsid w:val="00F925DB"/>
    <w:rsid w:val="00F92C82"/>
    <w:rsid w:val="00F930B4"/>
    <w:rsid w:val="00F9332C"/>
    <w:rsid w:val="00F93510"/>
    <w:rsid w:val="00F9357F"/>
    <w:rsid w:val="00F93628"/>
    <w:rsid w:val="00F9382B"/>
    <w:rsid w:val="00F93E1F"/>
    <w:rsid w:val="00F94136"/>
    <w:rsid w:val="00F9419F"/>
    <w:rsid w:val="00F94255"/>
    <w:rsid w:val="00F9429A"/>
    <w:rsid w:val="00F942DA"/>
    <w:rsid w:val="00F942EC"/>
    <w:rsid w:val="00F943CA"/>
    <w:rsid w:val="00F94739"/>
    <w:rsid w:val="00F949D6"/>
    <w:rsid w:val="00F94A18"/>
    <w:rsid w:val="00F94C29"/>
    <w:rsid w:val="00F94C73"/>
    <w:rsid w:val="00F94EF3"/>
    <w:rsid w:val="00F94F15"/>
    <w:rsid w:val="00F951C0"/>
    <w:rsid w:val="00F9527D"/>
    <w:rsid w:val="00F9530B"/>
    <w:rsid w:val="00F9533B"/>
    <w:rsid w:val="00F9577B"/>
    <w:rsid w:val="00F958AB"/>
    <w:rsid w:val="00F95934"/>
    <w:rsid w:val="00F95A06"/>
    <w:rsid w:val="00F95C2D"/>
    <w:rsid w:val="00F95D5A"/>
    <w:rsid w:val="00F95F5F"/>
    <w:rsid w:val="00F96375"/>
    <w:rsid w:val="00F9649A"/>
    <w:rsid w:val="00F965B6"/>
    <w:rsid w:val="00F965F8"/>
    <w:rsid w:val="00F96ACE"/>
    <w:rsid w:val="00F96B98"/>
    <w:rsid w:val="00F96CA7"/>
    <w:rsid w:val="00F96E3B"/>
    <w:rsid w:val="00F96EBE"/>
    <w:rsid w:val="00F96F83"/>
    <w:rsid w:val="00F96FC3"/>
    <w:rsid w:val="00F9750E"/>
    <w:rsid w:val="00F97534"/>
    <w:rsid w:val="00F9760F"/>
    <w:rsid w:val="00F97645"/>
    <w:rsid w:val="00F97785"/>
    <w:rsid w:val="00F97932"/>
    <w:rsid w:val="00F97A84"/>
    <w:rsid w:val="00F97B21"/>
    <w:rsid w:val="00F97DC8"/>
    <w:rsid w:val="00F97E00"/>
    <w:rsid w:val="00F97F3D"/>
    <w:rsid w:val="00FA026E"/>
    <w:rsid w:val="00FA0391"/>
    <w:rsid w:val="00FA0540"/>
    <w:rsid w:val="00FA0577"/>
    <w:rsid w:val="00FA0690"/>
    <w:rsid w:val="00FA0728"/>
    <w:rsid w:val="00FA073F"/>
    <w:rsid w:val="00FA07E8"/>
    <w:rsid w:val="00FA093B"/>
    <w:rsid w:val="00FA0AE1"/>
    <w:rsid w:val="00FA0B77"/>
    <w:rsid w:val="00FA0B8C"/>
    <w:rsid w:val="00FA0C58"/>
    <w:rsid w:val="00FA0DAE"/>
    <w:rsid w:val="00FA10B1"/>
    <w:rsid w:val="00FA1393"/>
    <w:rsid w:val="00FA13B7"/>
    <w:rsid w:val="00FA16E0"/>
    <w:rsid w:val="00FA177B"/>
    <w:rsid w:val="00FA179F"/>
    <w:rsid w:val="00FA17AF"/>
    <w:rsid w:val="00FA18CC"/>
    <w:rsid w:val="00FA18E8"/>
    <w:rsid w:val="00FA1AB0"/>
    <w:rsid w:val="00FA1E3D"/>
    <w:rsid w:val="00FA1E77"/>
    <w:rsid w:val="00FA2029"/>
    <w:rsid w:val="00FA233A"/>
    <w:rsid w:val="00FA245A"/>
    <w:rsid w:val="00FA266D"/>
    <w:rsid w:val="00FA28BE"/>
    <w:rsid w:val="00FA2D73"/>
    <w:rsid w:val="00FA2D93"/>
    <w:rsid w:val="00FA30C6"/>
    <w:rsid w:val="00FA3128"/>
    <w:rsid w:val="00FA3397"/>
    <w:rsid w:val="00FA33E1"/>
    <w:rsid w:val="00FA3609"/>
    <w:rsid w:val="00FA3647"/>
    <w:rsid w:val="00FA3849"/>
    <w:rsid w:val="00FA3875"/>
    <w:rsid w:val="00FA3AA3"/>
    <w:rsid w:val="00FA3B49"/>
    <w:rsid w:val="00FA3B81"/>
    <w:rsid w:val="00FA3CAB"/>
    <w:rsid w:val="00FA3D6C"/>
    <w:rsid w:val="00FA3D84"/>
    <w:rsid w:val="00FA3DAC"/>
    <w:rsid w:val="00FA3F06"/>
    <w:rsid w:val="00FA40C7"/>
    <w:rsid w:val="00FA40CC"/>
    <w:rsid w:val="00FA41D7"/>
    <w:rsid w:val="00FA422F"/>
    <w:rsid w:val="00FA42B6"/>
    <w:rsid w:val="00FA42F3"/>
    <w:rsid w:val="00FA449D"/>
    <w:rsid w:val="00FA45D8"/>
    <w:rsid w:val="00FA473D"/>
    <w:rsid w:val="00FA476C"/>
    <w:rsid w:val="00FA48C0"/>
    <w:rsid w:val="00FA4A29"/>
    <w:rsid w:val="00FA4C9D"/>
    <w:rsid w:val="00FA4D9B"/>
    <w:rsid w:val="00FA4EB8"/>
    <w:rsid w:val="00FA50A2"/>
    <w:rsid w:val="00FA51A1"/>
    <w:rsid w:val="00FA537B"/>
    <w:rsid w:val="00FA54F4"/>
    <w:rsid w:val="00FA553B"/>
    <w:rsid w:val="00FA5984"/>
    <w:rsid w:val="00FA59A1"/>
    <w:rsid w:val="00FA5ADC"/>
    <w:rsid w:val="00FA60C7"/>
    <w:rsid w:val="00FA6388"/>
    <w:rsid w:val="00FA648F"/>
    <w:rsid w:val="00FA6632"/>
    <w:rsid w:val="00FA66EA"/>
    <w:rsid w:val="00FA6743"/>
    <w:rsid w:val="00FA6928"/>
    <w:rsid w:val="00FA6991"/>
    <w:rsid w:val="00FA69D7"/>
    <w:rsid w:val="00FA6A4D"/>
    <w:rsid w:val="00FA6D90"/>
    <w:rsid w:val="00FA6DFA"/>
    <w:rsid w:val="00FA6EF4"/>
    <w:rsid w:val="00FA6FC2"/>
    <w:rsid w:val="00FA6FC7"/>
    <w:rsid w:val="00FA70E6"/>
    <w:rsid w:val="00FA7143"/>
    <w:rsid w:val="00FA728F"/>
    <w:rsid w:val="00FA72FA"/>
    <w:rsid w:val="00FA7326"/>
    <w:rsid w:val="00FA747B"/>
    <w:rsid w:val="00FA794E"/>
    <w:rsid w:val="00FA7A68"/>
    <w:rsid w:val="00FA7B0A"/>
    <w:rsid w:val="00FA7B85"/>
    <w:rsid w:val="00FA7C11"/>
    <w:rsid w:val="00FA7D2D"/>
    <w:rsid w:val="00FACB44"/>
    <w:rsid w:val="00FB024E"/>
    <w:rsid w:val="00FB03AD"/>
    <w:rsid w:val="00FB0468"/>
    <w:rsid w:val="00FB06EB"/>
    <w:rsid w:val="00FB0859"/>
    <w:rsid w:val="00FB0AC3"/>
    <w:rsid w:val="00FB0F94"/>
    <w:rsid w:val="00FB0FCF"/>
    <w:rsid w:val="00FB10F9"/>
    <w:rsid w:val="00FB1316"/>
    <w:rsid w:val="00FB136E"/>
    <w:rsid w:val="00FB15AE"/>
    <w:rsid w:val="00FB15C7"/>
    <w:rsid w:val="00FB186A"/>
    <w:rsid w:val="00FB18CA"/>
    <w:rsid w:val="00FB1994"/>
    <w:rsid w:val="00FB1A36"/>
    <w:rsid w:val="00FB1A5F"/>
    <w:rsid w:val="00FB1A95"/>
    <w:rsid w:val="00FB1B7A"/>
    <w:rsid w:val="00FB1B86"/>
    <w:rsid w:val="00FB1C47"/>
    <w:rsid w:val="00FB1CD2"/>
    <w:rsid w:val="00FB1D2A"/>
    <w:rsid w:val="00FB1DE5"/>
    <w:rsid w:val="00FB1F66"/>
    <w:rsid w:val="00FB2079"/>
    <w:rsid w:val="00FB20E6"/>
    <w:rsid w:val="00FB22E7"/>
    <w:rsid w:val="00FB26A3"/>
    <w:rsid w:val="00FB26B2"/>
    <w:rsid w:val="00FB27CD"/>
    <w:rsid w:val="00FB27DD"/>
    <w:rsid w:val="00FB2AAA"/>
    <w:rsid w:val="00FB2ACC"/>
    <w:rsid w:val="00FB2BAF"/>
    <w:rsid w:val="00FB2C6A"/>
    <w:rsid w:val="00FB2EBD"/>
    <w:rsid w:val="00FB3001"/>
    <w:rsid w:val="00FB31C0"/>
    <w:rsid w:val="00FB336D"/>
    <w:rsid w:val="00FB3581"/>
    <w:rsid w:val="00FB38CD"/>
    <w:rsid w:val="00FB3B8C"/>
    <w:rsid w:val="00FB3E7C"/>
    <w:rsid w:val="00FB3EDC"/>
    <w:rsid w:val="00FB3FAF"/>
    <w:rsid w:val="00FB402D"/>
    <w:rsid w:val="00FB4071"/>
    <w:rsid w:val="00FB423B"/>
    <w:rsid w:val="00FB4281"/>
    <w:rsid w:val="00FB42BB"/>
    <w:rsid w:val="00FB4417"/>
    <w:rsid w:val="00FB44F5"/>
    <w:rsid w:val="00FB464D"/>
    <w:rsid w:val="00FB46EB"/>
    <w:rsid w:val="00FB47C8"/>
    <w:rsid w:val="00FB47CC"/>
    <w:rsid w:val="00FB4848"/>
    <w:rsid w:val="00FB4946"/>
    <w:rsid w:val="00FB4A49"/>
    <w:rsid w:val="00FB4C73"/>
    <w:rsid w:val="00FB4C9B"/>
    <w:rsid w:val="00FB4DC5"/>
    <w:rsid w:val="00FB4E0B"/>
    <w:rsid w:val="00FB4FBA"/>
    <w:rsid w:val="00FB542C"/>
    <w:rsid w:val="00FB545B"/>
    <w:rsid w:val="00FB5543"/>
    <w:rsid w:val="00FB5646"/>
    <w:rsid w:val="00FB566E"/>
    <w:rsid w:val="00FB580B"/>
    <w:rsid w:val="00FB5B52"/>
    <w:rsid w:val="00FB5E02"/>
    <w:rsid w:val="00FB5EE2"/>
    <w:rsid w:val="00FB5F57"/>
    <w:rsid w:val="00FB60B0"/>
    <w:rsid w:val="00FB60ED"/>
    <w:rsid w:val="00FB62DB"/>
    <w:rsid w:val="00FB64D0"/>
    <w:rsid w:val="00FB64E6"/>
    <w:rsid w:val="00FB68CD"/>
    <w:rsid w:val="00FB6971"/>
    <w:rsid w:val="00FB70FF"/>
    <w:rsid w:val="00FB720E"/>
    <w:rsid w:val="00FB72DE"/>
    <w:rsid w:val="00FB7311"/>
    <w:rsid w:val="00FB733C"/>
    <w:rsid w:val="00FB783D"/>
    <w:rsid w:val="00FB789B"/>
    <w:rsid w:val="00FB7944"/>
    <w:rsid w:val="00FB7B73"/>
    <w:rsid w:val="00FB7C6A"/>
    <w:rsid w:val="00FB7CE8"/>
    <w:rsid w:val="00FB7DD3"/>
    <w:rsid w:val="00FB7F04"/>
    <w:rsid w:val="00FC000B"/>
    <w:rsid w:val="00FC0066"/>
    <w:rsid w:val="00FC02CA"/>
    <w:rsid w:val="00FC0404"/>
    <w:rsid w:val="00FC0656"/>
    <w:rsid w:val="00FC0700"/>
    <w:rsid w:val="00FC0848"/>
    <w:rsid w:val="00FC0904"/>
    <w:rsid w:val="00FC09D6"/>
    <w:rsid w:val="00FC0C1C"/>
    <w:rsid w:val="00FC0DA3"/>
    <w:rsid w:val="00FC0DAF"/>
    <w:rsid w:val="00FC0DBA"/>
    <w:rsid w:val="00FC0DCF"/>
    <w:rsid w:val="00FC1183"/>
    <w:rsid w:val="00FC12A0"/>
    <w:rsid w:val="00FC1640"/>
    <w:rsid w:val="00FC182C"/>
    <w:rsid w:val="00FC1A9B"/>
    <w:rsid w:val="00FC1C07"/>
    <w:rsid w:val="00FC1DD4"/>
    <w:rsid w:val="00FC1ED9"/>
    <w:rsid w:val="00FC22EC"/>
    <w:rsid w:val="00FC24E3"/>
    <w:rsid w:val="00FC2513"/>
    <w:rsid w:val="00FC27F7"/>
    <w:rsid w:val="00FC2C5D"/>
    <w:rsid w:val="00FC2C64"/>
    <w:rsid w:val="00FC2E05"/>
    <w:rsid w:val="00FC2F39"/>
    <w:rsid w:val="00FC3000"/>
    <w:rsid w:val="00FC314C"/>
    <w:rsid w:val="00FC31B9"/>
    <w:rsid w:val="00FC338E"/>
    <w:rsid w:val="00FC342C"/>
    <w:rsid w:val="00FC3456"/>
    <w:rsid w:val="00FC34A8"/>
    <w:rsid w:val="00FC38F1"/>
    <w:rsid w:val="00FC3ED3"/>
    <w:rsid w:val="00FC3F22"/>
    <w:rsid w:val="00FC40A3"/>
    <w:rsid w:val="00FC410D"/>
    <w:rsid w:val="00FC41F3"/>
    <w:rsid w:val="00FC42B0"/>
    <w:rsid w:val="00FC42F3"/>
    <w:rsid w:val="00FC4347"/>
    <w:rsid w:val="00FC446F"/>
    <w:rsid w:val="00FC4499"/>
    <w:rsid w:val="00FC45A4"/>
    <w:rsid w:val="00FC483C"/>
    <w:rsid w:val="00FC4B02"/>
    <w:rsid w:val="00FC4E27"/>
    <w:rsid w:val="00FC4E2E"/>
    <w:rsid w:val="00FC4EE2"/>
    <w:rsid w:val="00FC4F4A"/>
    <w:rsid w:val="00FC5469"/>
    <w:rsid w:val="00FC5552"/>
    <w:rsid w:val="00FC567A"/>
    <w:rsid w:val="00FC56A8"/>
    <w:rsid w:val="00FC5936"/>
    <w:rsid w:val="00FC595C"/>
    <w:rsid w:val="00FC5DF4"/>
    <w:rsid w:val="00FC5ED9"/>
    <w:rsid w:val="00FC5F82"/>
    <w:rsid w:val="00FC60A7"/>
    <w:rsid w:val="00FC611C"/>
    <w:rsid w:val="00FC612F"/>
    <w:rsid w:val="00FC6378"/>
    <w:rsid w:val="00FC63B3"/>
    <w:rsid w:val="00FC6442"/>
    <w:rsid w:val="00FC6551"/>
    <w:rsid w:val="00FC65DF"/>
    <w:rsid w:val="00FC6605"/>
    <w:rsid w:val="00FC681B"/>
    <w:rsid w:val="00FC6831"/>
    <w:rsid w:val="00FC684F"/>
    <w:rsid w:val="00FC69F9"/>
    <w:rsid w:val="00FC6D07"/>
    <w:rsid w:val="00FC6E1E"/>
    <w:rsid w:val="00FC6E48"/>
    <w:rsid w:val="00FC71D1"/>
    <w:rsid w:val="00FC7388"/>
    <w:rsid w:val="00FC7435"/>
    <w:rsid w:val="00FC747B"/>
    <w:rsid w:val="00FC777D"/>
    <w:rsid w:val="00FC79F2"/>
    <w:rsid w:val="00FC7A74"/>
    <w:rsid w:val="00FC7C2E"/>
    <w:rsid w:val="00FC7CDF"/>
    <w:rsid w:val="00FC7F1D"/>
    <w:rsid w:val="00FC7FD5"/>
    <w:rsid w:val="00FD011F"/>
    <w:rsid w:val="00FD0191"/>
    <w:rsid w:val="00FD01AC"/>
    <w:rsid w:val="00FD0285"/>
    <w:rsid w:val="00FD04C8"/>
    <w:rsid w:val="00FD069E"/>
    <w:rsid w:val="00FD0877"/>
    <w:rsid w:val="00FD0988"/>
    <w:rsid w:val="00FD099E"/>
    <w:rsid w:val="00FD0B00"/>
    <w:rsid w:val="00FD0B08"/>
    <w:rsid w:val="00FD0B2E"/>
    <w:rsid w:val="00FD0B30"/>
    <w:rsid w:val="00FD0C9B"/>
    <w:rsid w:val="00FD0D13"/>
    <w:rsid w:val="00FD0FFC"/>
    <w:rsid w:val="00FD11F5"/>
    <w:rsid w:val="00FD1418"/>
    <w:rsid w:val="00FD1887"/>
    <w:rsid w:val="00FD18DD"/>
    <w:rsid w:val="00FD1977"/>
    <w:rsid w:val="00FD1AE0"/>
    <w:rsid w:val="00FD1B23"/>
    <w:rsid w:val="00FD1E16"/>
    <w:rsid w:val="00FD224B"/>
    <w:rsid w:val="00FD227F"/>
    <w:rsid w:val="00FD22FD"/>
    <w:rsid w:val="00FD23BC"/>
    <w:rsid w:val="00FD240C"/>
    <w:rsid w:val="00FD2A64"/>
    <w:rsid w:val="00FD2CEF"/>
    <w:rsid w:val="00FD2FAC"/>
    <w:rsid w:val="00FD303B"/>
    <w:rsid w:val="00FD3241"/>
    <w:rsid w:val="00FD3459"/>
    <w:rsid w:val="00FD34F1"/>
    <w:rsid w:val="00FD358F"/>
    <w:rsid w:val="00FD3641"/>
    <w:rsid w:val="00FD372A"/>
    <w:rsid w:val="00FD389D"/>
    <w:rsid w:val="00FD39D2"/>
    <w:rsid w:val="00FD3C92"/>
    <w:rsid w:val="00FD3DED"/>
    <w:rsid w:val="00FD448D"/>
    <w:rsid w:val="00FD4589"/>
    <w:rsid w:val="00FD462A"/>
    <w:rsid w:val="00FD47FB"/>
    <w:rsid w:val="00FD4982"/>
    <w:rsid w:val="00FD4B02"/>
    <w:rsid w:val="00FD4B4D"/>
    <w:rsid w:val="00FD4B74"/>
    <w:rsid w:val="00FD4C21"/>
    <w:rsid w:val="00FD4F97"/>
    <w:rsid w:val="00FD50A6"/>
    <w:rsid w:val="00FD53EA"/>
    <w:rsid w:val="00FD549A"/>
    <w:rsid w:val="00FD54F7"/>
    <w:rsid w:val="00FD561A"/>
    <w:rsid w:val="00FD5862"/>
    <w:rsid w:val="00FD5D0B"/>
    <w:rsid w:val="00FD6200"/>
    <w:rsid w:val="00FD657C"/>
    <w:rsid w:val="00FD662F"/>
    <w:rsid w:val="00FD671B"/>
    <w:rsid w:val="00FD6A18"/>
    <w:rsid w:val="00FD6A96"/>
    <w:rsid w:val="00FD6B74"/>
    <w:rsid w:val="00FD6C68"/>
    <w:rsid w:val="00FD6CEB"/>
    <w:rsid w:val="00FD6D75"/>
    <w:rsid w:val="00FD6E51"/>
    <w:rsid w:val="00FD6FE2"/>
    <w:rsid w:val="00FD7089"/>
    <w:rsid w:val="00FD714D"/>
    <w:rsid w:val="00FD72D4"/>
    <w:rsid w:val="00FD72FE"/>
    <w:rsid w:val="00FD7596"/>
    <w:rsid w:val="00FD7723"/>
    <w:rsid w:val="00FD786F"/>
    <w:rsid w:val="00FD7A58"/>
    <w:rsid w:val="00FD7AF1"/>
    <w:rsid w:val="00FD7B65"/>
    <w:rsid w:val="00FD7C16"/>
    <w:rsid w:val="00FD7D75"/>
    <w:rsid w:val="00FD7E18"/>
    <w:rsid w:val="00FE00C6"/>
    <w:rsid w:val="00FE0208"/>
    <w:rsid w:val="00FE0270"/>
    <w:rsid w:val="00FE02F5"/>
    <w:rsid w:val="00FE0430"/>
    <w:rsid w:val="00FE045F"/>
    <w:rsid w:val="00FE05CC"/>
    <w:rsid w:val="00FE05FE"/>
    <w:rsid w:val="00FE0760"/>
    <w:rsid w:val="00FE07B9"/>
    <w:rsid w:val="00FE0928"/>
    <w:rsid w:val="00FE0997"/>
    <w:rsid w:val="00FE0B15"/>
    <w:rsid w:val="00FE0C4C"/>
    <w:rsid w:val="00FE0CFC"/>
    <w:rsid w:val="00FE0F90"/>
    <w:rsid w:val="00FE1175"/>
    <w:rsid w:val="00FE1177"/>
    <w:rsid w:val="00FE1381"/>
    <w:rsid w:val="00FE13DA"/>
    <w:rsid w:val="00FE1453"/>
    <w:rsid w:val="00FE1564"/>
    <w:rsid w:val="00FE1621"/>
    <w:rsid w:val="00FE1715"/>
    <w:rsid w:val="00FE174C"/>
    <w:rsid w:val="00FE17A1"/>
    <w:rsid w:val="00FE1C87"/>
    <w:rsid w:val="00FE1D35"/>
    <w:rsid w:val="00FE1E04"/>
    <w:rsid w:val="00FE1E2C"/>
    <w:rsid w:val="00FE1F51"/>
    <w:rsid w:val="00FE1FFE"/>
    <w:rsid w:val="00FE2268"/>
    <w:rsid w:val="00FE22BF"/>
    <w:rsid w:val="00FE241D"/>
    <w:rsid w:val="00FE26D0"/>
    <w:rsid w:val="00FE280A"/>
    <w:rsid w:val="00FE28C0"/>
    <w:rsid w:val="00FE28F1"/>
    <w:rsid w:val="00FE2B45"/>
    <w:rsid w:val="00FE2BD9"/>
    <w:rsid w:val="00FE2E12"/>
    <w:rsid w:val="00FE3110"/>
    <w:rsid w:val="00FE32AE"/>
    <w:rsid w:val="00FE32BB"/>
    <w:rsid w:val="00FE3329"/>
    <w:rsid w:val="00FE3576"/>
    <w:rsid w:val="00FE35E3"/>
    <w:rsid w:val="00FE3696"/>
    <w:rsid w:val="00FE389D"/>
    <w:rsid w:val="00FE3916"/>
    <w:rsid w:val="00FE39B4"/>
    <w:rsid w:val="00FE3B67"/>
    <w:rsid w:val="00FE3C16"/>
    <w:rsid w:val="00FE3E23"/>
    <w:rsid w:val="00FE3E91"/>
    <w:rsid w:val="00FE3EA4"/>
    <w:rsid w:val="00FE3FC5"/>
    <w:rsid w:val="00FE410B"/>
    <w:rsid w:val="00FE42B6"/>
    <w:rsid w:val="00FE4446"/>
    <w:rsid w:val="00FE4681"/>
    <w:rsid w:val="00FE4738"/>
    <w:rsid w:val="00FE487B"/>
    <w:rsid w:val="00FE49D3"/>
    <w:rsid w:val="00FE4C0D"/>
    <w:rsid w:val="00FE4DEA"/>
    <w:rsid w:val="00FE4F8C"/>
    <w:rsid w:val="00FE529F"/>
    <w:rsid w:val="00FE596E"/>
    <w:rsid w:val="00FE5B45"/>
    <w:rsid w:val="00FE5DDF"/>
    <w:rsid w:val="00FE5F95"/>
    <w:rsid w:val="00FE5FD1"/>
    <w:rsid w:val="00FE62B7"/>
    <w:rsid w:val="00FE631C"/>
    <w:rsid w:val="00FE63D9"/>
    <w:rsid w:val="00FE6593"/>
    <w:rsid w:val="00FE6CE8"/>
    <w:rsid w:val="00FE6E33"/>
    <w:rsid w:val="00FE718A"/>
    <w:rsid w:val="00FE7434"/>
    <w:rsid w:val="00FE751D"/>
    <w:rsid w:val="00FE755F"/>
    <w:rsid w:val="00FE78B0"/>
    <w:rsid w:val="00FE7A7B"/>
    <w:rsid w:val="00FE7AE1"/>
    <w:rsid w:val="00FE7B44"/>
    <w:rsid w:val="00FE7D55"/>
    <w:rsid w:val="00FE7D73"/>
    <w:rsid w:val="00FE7E4A"/>
    <w:rsid w:val="00FE7EB1"/>
    <w:rsid w:val="00FE7F37"/>
    <w:rsid w:val="00FF0013"/>
    <w:rsid w:val="00FF0117"/>
    <w:rsid w:val="00FF013C"/>
    <w:rsid w:val="00FF030D"/>
    <w:rsid w:val="00FF041E"/>
    <w:rsid w:val="00FF04DA"/>
    <w:rsid w:val="00FF0506"/>
    <w:rsid w:val="00FF069A"/>
    <w:rsid w:val="00FF06AB"/>
    <w:rsid w:val="00FF07DB"/>
    <w:rsid w:val="00FF0D4F"/>
    <w:rsid w:val="00FF0F4D"/>
    <w:rsid w:val="00FF1065"/>
    <w:rsid w:val="00FF1080"/>
    <w:rsid w:val="00FF10B8"/>
    <w:rsid w:val="00FF1BF0"/>
    <w:rsid w:val="00FF1DE2"/>
    <w:rsid w:val="00FF1E5D"/>
    <w:rsid w:val="00FF1F07"/>
    <w:rsid w:val="00FF2118"/>
    <w:rsid w:val="00FF21DA"/>
    <w:rsid w:val="00FF24BA"/>
    <w:rsid w:val="00FF262A"/>
    <w:rsid w:val="00FF2CC0"/>
    <w:rsid w:val="00FF3181"/>
    <w:rsid w:val="00FF33C4"/>
    <w:rsid w:val="00FF351A"/>
    <w:rsid w:val="00FF36C9"/>
    <w:rsid w:val="00FF3728"/>
    <w:rsid w:val="00FF3887"/>
    <w:rsid w:val="00FF3891"/>
    <w:rsid w:val="00FF38D7"/>
    <w:rsid w:val="00FF3969"/>
    <w:rsid w:val="00FF3A4D"/>
    <w:rsid w:val="00FF3D84"/>
    <w:rsid w:val="00FF3DEA"/>
    <w:rsid w:val="00FF3FA4"/>
    <w:rsid w:val="00FF3FEC"/>
    <w:rsid w:val="00FF4103"/>
    <w:rsid w:val="00FF41E4"/>
    <w:rsid w:val="00FF42E9"/>
    <w:rsid w:val="00FF4466"/>
    <w:rsid w:val="00FF48E6"/>
    <w:rsid w:val="00FF4A7E"/>
    <w:rsid w:val="00FF4DA2"/>
    <w:rsid w:val="00FF4F07"/>
    <w:rsid w:val="00FF54FD"/>
    <w:rsid w:val="00FF582B"/>
    <w:rsid w:val="00FF592F"/>
    <w:rsid w:val="00FF5951"/>
    <w:rsid w:val="00FF5A89"/>
    <w:rsid w:val="00FF5B57"/>
    <w:rsid w:val="00FF5BBE"/>
    <w:rsid w:val="00FF5E42"/>
    <w:rsid w:val="00FF60B2"/>
    <w:rsid w:val="00FF62C2"/>
    <w:rsid w:val="00FF6489"/>
    <w:rsid w:val="00FF66CF"/>
    <w:rsid w:val="00FF695B"/>
    <w:rsid w:val="00FF6A53"/>
    <w:rsid w:val="00FF6AFD"/>
    <w:rsid w:val="00FF6CC8"/>
    <w:rsid w:val="00FF6CD0"/>
    <w:rsid w:val="00FF6DC7"/>
    <w:rsid w:val="00FF70A7"/>
    <w:rsid w:val="00FF713D"/>
    <w:rsid w:val="00FF7799"/>
    <w:rsid w:val="00FF77A4"/>
    <w:rsid w:val="00FF7853"/>
    <w:rsid w:val="00FF78ED"/>
    <w:rsid w:val="00FF798F"/>
    <w:rsid w:val="00FF79DC"/>
    <w:rsid w:val="00FF7C24"/>
    <w:rsid w:val="00FF7D61"/>
    <w:rsid w:val="00FF7DC0"/>
    <w:rsid w:val="00FF7E6F"/>
    <w:rsid w:val="01081BA9"/>
    <w:rsid w:val="010A35FC"/>
    <w:rsid w:val="01115E1D"/>
    <w:rsid w:val="01206E9B"/>
    <w:rsid w:val="01251FAE"/>
    <w:rsid w:val="01534B3A"/>
    <w:rsid w:val="015CA7C9"/>
    <w:rsid w:val="0164D747"/>
    <w:rsid w:val="01677103"/>
    <w:rsid w:val="01681C7E"/>
    <w:rsid w:val="016D8903"/>
    <w:rsid w:val="018333DB"/>
    <w:rsid w:val="0190B94A"/>
    <w:rsid w:val="019C750F"/>
    <w:rsid w:val="01A0DCF4"/>
    <w:rsid w:val="01A13CB2"/>
    <w:rsid w:val="01A3EF71"/>
    <w:rsid w:val="01BE2DAB"/>
    <w:rsid w:val="01BEA332"/>
    <w:rsid w:val="01BF2C21"/>
    <w:rsid w:val="01C8B2F7"/>
    <w:rsid w:val="01D323C3"/>
    <w:rsid w:val="01D4306F"/>
    <w:rsid w:val="01DB1226"/>
    <w:rsid w:val="01DB43FC"/>
    <w:rsid w:val="01E0DF35"/>
    <w:rsid w:val="01ED3CAC"/>
    <w:rsid w:val="01EF700E"/>
    <w:rsid w:val="01F3D2E2"/>
    <w:rsid w:val="01F407B2"/>
    <w:rsid w:val="0203AD47"/>
    <w:rsid w:val="021A14C8"/>
    <w:rsid w:val="021AA728"/>
    <w:rsid w:val="022FDE38"/>
    <w:rsid w:val="023B73B3"/>
    <w:rsid w:val="0241CAA5"/>
    <w:rsid w:val="02459141"/>
    <w:rsid w:val="025087D4"/>
    <w:rsid w:val="0254DC7F"/>
    <w:rsid w:val="025A2685"/>
    <w:rsid w:val="02711A74"/>
    <w:rsid w:val="0273ECAB"/>
    <w:rsid w:val="0273F828"/>
    <w:rsid w:val="02750BEB"/>
    <w:rsid w:val="027632C1"/>
    <w:rsid w:val="0284E236"/>
    <w:rsid w:val="028A8457"/>
    <w:rsid w:val="028C0421"/>
    <w:rsid w:val="028F8101"/>
    <w:rsid w:val="02A6C432"/>
    <w:rsid w:val="02BA81C9"/>
    <w:rsid w:val="02CDF294"/>
    <w:rsid w:val="02CE2203"/>
    <w:rsid w:val="02D2464A"/>
    <w:rsid w:val="02D3920D"/>
    <w:rsid w:val="02D4536A"/>
    <w:rsid w:val="02DECB17"/>
    <w:rsid w:val="02DED490"/>
    <w:rsid w:val="02E92993"/>
    <w:rsid w:val="02EC55C3"/>
    <w:rsid w:val="02EE7FD7"/>
    <w:rsid w:val="03005A8F"/>
    <w:rsid w:val="0306B2A6"/>
    <w:rsid w:val="03239669"/>
    <w:rsid w:val="032C5268"/>
    <w:rsid w:val="032D63A4"/>
    <w:rsid w:val="0338AA2E"/>
    <w:rsid w:val="035155F7"/>
    <w:rsid w:val="03557390"/>
    <w:rsid w:val="0367F4BB"/>
    <w:rsid w:val="036CC284"/>
    <w:rsid w:val="036F885C"/>
    <w:rsid w:val="0378E012"/>
    <w:rsid w:val="03832358"/>
    <w:rsid w:val="03905F3A"/>
    <w:rsid w:val="03921936"/>
    <w:rsid w:val="03990243"/>
    <w:rsid w:val="03990DD6"/>
    <w:rsid w:val="03B432D1"/>
    <w:rsid w:val="03BE6DF2"/>
    <w:rsid w:val="03D10B44"/>
    <w:rsid w:val="03D259D2"/>
    <w:rsid w:val="03D4CF02"/>
    <w:rsid w:val="03DA2BD7"/>
    <w:rsid w:val="03DCC625"/>
    <w:rsid w:val="03E33EE9"/>
    <w:rsid w:val="03E69C39"/>
    <w:rsid w:val="03FDC405"/>
    <w:rsid w:val="041CD079"/>
    <w:rsid w:val="042389F7"/>
    <w:rsid w:val="0424455C"/>
    <w:rsid w:val="0430BFFF"/>
    <w:rsid w:val="043156C1"/>
    <w:rsid w:val="0467283F"/>
    <w:rsid w:val="0468479A"/>
    <w:rsid w:val="046B28F5"/>
    <w:rsid w:val="046B7C6C"/>
    <w:rsid w:val="0471218F"/>
    <w:rsid w:val="047A636A"/>
    <w:rsid w:val="047D6178"/>
    <w:rsid w:val="048570C6"/>
    <w:rsid w:val="04951BED"/>
    <w:rsid w:val="04986C4A"/>
    <w:rsid w:val="049A2AC1"/>
    <w:rsid w:val="049C2AF0"/>
    <w:rsid w:val="04AB029F"/>
    <w:rsid w:val="04AED130"/>
    <w:rsid w:val="04B0704F"/>
    <w:rsid w:val="04BCB626"/>
    <w:rsid w:val="04C46E64"/>
    <w:rsid w:val="04CA93C1"/>
    <w:rsid w:val="04CD6530"/>
    <w:rsid w:val="04CE50F6"/>
    <w:rsid w:val="04D3E317"/>
    <w:rsid w:val="04D9A86F"/>
    <w:rsid w:val="04DE3300"/>
    <w:rsid w:val="04E6E35B"/>
    <w:rsid w:val="04E725DC"/>
    <w:rsid w:val="04E9A190"/>
    <w:rsid w:val="04F3F9EB"/>
    <w:rsid w:val="04FFDE5A"/>
    <w:rsid w:val="05074008"/>
    <w:rsid w:val="0515A56D"/>
    <w:rsid w:val="051B8172"/>
    <w:rsid w:val="051E072C"/>
    <w:rsid w:val="052946AC"/>
    <w:rsid w:val="052ADC53"/>
    <w:rsid w:val="052AF873"/>
    <w:rsid w:val="052FCEEB"/>
    <w:rsid w:val="0544FDE1"/>
    <w:rsid w:val="05477E49"/>
    <w:rsid w:val="054D2181"/>
    <w:rsid w:val="055DDB8D"/>
    <w:rsid w:val="0561D284"/>
    <w:rsid w:val="0580B90C"/>
    <w:rsid w:val="0582A6B2"/>
    <w:rsid w:val="0586B9DF"/>
    <w:rsid w:val="058B145D"/>
    <w:rsid w:val="0592C581"/>
    <w:rsid w:val="05A46613"/>
    <w:rsid w:val="05B2AB92"/>
    <w:rsid w:val="05CC5695"/>
    <w:rsid w:val="05E56B8B"/>
    <w:rsid w:val="05EB5540"/>
    <w:rsid w:val="05F75D7D"/>
    <w:rsid w:val="060598EE"/>
    <w:rsid w:val="060780AF"/>
    <w:rsid w:val="0609E70C"/>
    <w:rsid w:val="060A7A94"/>
    <w:rsid w:val="06137345"/>
    <w:rsid w:val="061F81BF"/>
    <w:rsid w:val="062BE661"/>
    <w:rsid w:val="062CE798"/>
    <w:rsid w:val="062EA310"/>
    <w:rsid w:val="0636B9FA"/>
    <w:rsid w:val="063709CA"/>
    <w:rsid w:val="06401AAD"/>
    <w:rsid w:val="064C0347"/>
    <w:rsid w:val="064C47AC"/>
    <w:rsid w:val="065749FE"/>
    <w:rsid w:val="0658F393"/>
    <w:rsid w:val="065C84F2"/>
    <w:rsid w:val="067486E3"/>
    <w:rsid w:val="067AEC97"/>
    <w:rsid w:val="067B3B88"/>
    <w:rsid w:val="0692FE07"/>
    <w:rsid w:val="06995B18"/>
    <w:rsid w:val="06A89994"/>
    <w:rsid w:val="06A93529"/>
    <w:rsid w:val="06AB53B2"/>
    <w:rsid w:val="06C6F56E"/>
    <w:rsid w:val="06C7575D"/>
    <w:rsid w:val="06D6E2F8"/>
    <w:rsid w:val="06E29827"/>
    <w:rsid w:val="06E7E35C"/>
    <w:rsid w:val="06ED2FF9"/>
    <w:rsid w:val="06ED4F66"/>
    <w:rsid w:val="06F47BD2"/>
    <w:rsid w:val="06F7DAF1"/>
    <w:rsid w:val="07166ED5"/>
    <w:rsid w:val="0718A5E4"/>
    <w:rsid w:val="071937CC"/>
    <w:rsid w:val="0722D082"/>
    <w:rsid w:val="0725B16E"/>
    <w:rsid w:val="0729CEC6"/>
    <w:rsid w:val="07340E99"/>
    <w:rsid w:val="07366C81"/>
    <w:rsid w:val="073A1F06"/>
    <w:rsid w:val="073B2F3F"/>
    <w:rsid w:val="073D3E6A"/>
    <w:rsid w:val="073D6224"/>
    <w:rsid w:val="074B5187"/>
    <w:rsid w:val="075395C9"/>
    <w:rsid w:val="0761DD16"/>
    <w:rsid w:val="078708EB"/>
    <w:rsid w:val="078D4CBF"/>
    <w:rsid w:val="07982D2F"/>
    <w:rsid w:val="07A58471"/>
    <w:rsid w:val="07B1806C"/>
    <w:rsid w:val="07B19288"/>
    <w:rsid w:val="07B1A222"/>
    <w:rsid w:val="07B2E57E"/>
    <w:rsid w:val="07B31430"/>
    <w:rsid w:val="07B8A9B7"/>
    <w:rsid w:val="07CB22A0"/>
    <w:rsid w:val="07CDA8B7"/>
    <w:rsid w:val="07CDFF03"/>
    <w:rsid w:val="07D29CC2"/>
    <w:rsid w:val="07E4B434"/>
    <w:rsid w:val="07E99F8C"/>
    <w:rsid w:val="07ED4A4A"/>
    <w:rsid w:val="07F52DB3"/>
    <w:rsid w:val="07FC446A"/>
    <w:rsid w:val="080207D4"/>
    <w:rsid w:val="0803CC89"/>
    <w:rsid w:val="0811137F"/>
    <w:rsid w:val="0815FD37"/>
    <w:rsid w:val="0818378B"/>
    <w:rsid w:val="08319A71"/>
    <w:rsid w:val="083BBF96"/>
    <w:rsid w:val="08404CA0"/>
    <w:rsid w:val="0854DDAD"/>
    <w:rsid w:val="085E5337"/>
    <w:rsid w:val="086CF711"/>
    <w:rsid w:val="087DFCC1"/>
    <w:rsid w:val="08885F52"/>
    <w:rsid w:val="088B9CFE"/>
    <w:rsid w:val="08A00578"/>
    <w:rsid w:val="08A17926"/>
    <w:rsid w:val="08AC00FA"/>
    <w:rsid w:val="08B719E6"/>
    <w:rsid w:val="08BA3CDC"/>
    <w:rsid w:val="08BD39EB"/>
    <w:rsid w:val="08CB28E3"/>
    <w:rsid w:val="08DA30BD"/>
    <w:rsid w:val="08E044ED"/>
    <w:rsid w:val="08EA8DC1"/>
    <w:rsid w:val="08F32B61"/>
    <w:rsid w:val="08F73851"/>
    <w:rsid w:val="08FBA15F"/>
    <w:rsid w:val="08FE1A0B"/>
    <w:rsid w:val="0907C980"/>
    <w:rsid w:val="0907E0EA"/>
    <w:rsid w:val="0917ADFD"/>
    <w:rsid w:val="09191BF8"/>
    <w:rsid w:val="091961E4"/>
    <w:rsid w:val="091B6E1E"/>
    <w:rsid w:val="093863D6"/>
    <w:rsid w:val="09420719"/>
    <w:rsid w:val="094D298F"/>
    <w:rsid w:val="0950D125"/>
    <w:rsid w:val="095191B3"/>
    <w:rsid w:val="096B5912"/>
    <w:rsid w:val="096F9C13"/>
    <w:rsid w:val="0976C27A"/>
    <w:rsid w:val="0977E271"/>
    <w:rsid w:val="097D0311"/>
    <w:rsid w:val="098CBD8A"/>
    <w:rsid w:val="098D3D57"/>
    <w:rsid w:val="09911459"/>
    <w:rsid w:val="0997D01B"/>
    <w:rsid w:val="099CD522"/>
    <w:rsid w:val="09B1AD5A"/>
    <w:rsid w:val="09B5B2E1"/>
    <w:rsid w:val="09BD91D7"/>
    <w:rsid w:val="09C19FF4"/>
    <w:rsid w:val="09C73D5C"/>
    <w:rsid w:val="09D78F9F"/>
    <w:rsid w:val="09E06286"/>
    <w:rsid w:val="09E3B776"/>
    <w:rsid w:val="09ED5E3E"/>
    <w:rsid w:val="09FD4ADC"/>
    <w:rsid w:val="0A13BC2F"/>
    <w:rsid w:val="0A170DEC"/>
    <w:rsid w:val="0A21B266"/>
    <w:rsid w:val="0A2385CA"/>
    <w:rsid w:val="0A2B3B2A"/>
    <w:rsid w:val="0A88FF0C"/>
    <w:rsid w:val="0A93E685"/>
    <w:rsid w:val="0A985F3E"/>
    <w:rsid w:val="0AA04131"/>
    <w:rsid w:val="0AA19A89"/>
    <w:rsid w:val="0AA534EB"/>
    <w:rsid w:val="0AA8D0C7"/>
    <w:rsid w:val="0AB3086E"/>
    <w:rsid w:val="0AB99B64"/>
    <w:rsid w:val="0AB9DCEA"/>
    <w:rsid w:val="0AD0CF01"/>
    <w:rsid w:val="0AD54207"/>
    <w:rsid w:val="0ADF5288"/>
    <w:rsid w:val="0B004E96"/>
    <w:rsid w:val="0B030E74"/>
    <w:rsid w:val="0B0577ED"/>
    <w:rsid w:val="0B113983"/>
    <w:rsid w:val="0B15E9B0"/>
    <w:rsid w:val="0B1B83EE"/>
    <w:rsid w:val="0B2DAE74"/>
    <w:rsid w:val="0B2FA6B2"/>
    <w:rsid w:val="0B3F056B"/>
    <w:rsid w:val="0B3F8298"/>
    <w:rsid w:val="0B45A6E7"/>
    <w:rsid w:val="0B4A3C93"/>
    <w:rsid w:val="0B60385C"/>
    <w:rsid w:val="0B687BE9"/>
    <w:rsid w:val="0B77696C"/>
    <w:rsid w:val="0B7EF1AF"/>
    <w:rsid w:val="0B89AA0F"/>
    <w:rsid w:val="0B8DAF4D"/>
    <w:rsid w:val="0B90689F"/>
    <w:rsid w:val="0B95FEBA"/>
    <w:rsid w:val="0BA742CC"/>
    <w:rsid w:val="0BB1C8CD"/>
    <w:rsid w:val="0BC28EAC"/>
    <w:rsid w:val="0BCE2F31"/>
    <w:rsid w:val="0BD02C3C"/>
    <w:rsid w:val="0BE5875B"/>
    <w:rsid w:val="0BE599FA"/>
    <w:rsid w:val="0BEBBDEE"/>
    <w:rsid w:val="0BF30773"/>
    <w:rsid w:val="0BF32B5D"/>
    <w:rsid w:val="0BF6BDC6"/>
    <w:rsid w:val="0BFC7C90"/>
    <w:rsid w:val="0C069498"/>
    <w:rsid w:val="0C07C12C"/>
    <w:rsid w:val="0C08BD4B"/>
    <w:rsid w:val="0C0D86F4"/>
    <w:rsid w:val="0C218C8C"/>
    <w:rsid w:val="0C24FFEC"/>
    <w:rsid w:val="0C2E180E"/>
    <w:rsid w:val="0C35CCF1"/>
    <w:rsid w:val="0C430716"/>
    <w:rsid w:val="0C4EE128"/>
    <w:rsid w:val="0C5663C7"/>
    <w:rsid w:val="0C5EFB97"/>
    <w:rsid w:val="0C65177B"/>
    <w:rsid w:val="0C714914"/>
    <w:rsid w:val="0C7C0651"/>
    <w:rsid w:val="0C90B2EB"/>
    <w:rsid w:val="0C9178FB"/>
    <w:rsid w:val="0C95E47D"/>
    <w:rsid w:val="0C95F761"/>
    <w:rsid w:val="0C981D5D"/>
    <w:rsid w:val="0CA27B4F"/>
    <w:rsid w:val="0CA2F89F"/>
    <w:rsid w:val="0CB27031"/>
    <w:rsid w:val="0CB918A7"/>
    <w:rsid w:val="0CC18763"/>
    <w:rsid w:val="0CC3D461"/>
    <w:rsid w:val="0CCCE58A"/>
    <w:rsid w:val="0CDA6472"/>
    <w:rsid w:val="0CE94827"/>
    <w:rsid w:val="0CF72C3C"/>
    <w:rsid w:val="0CF79923"/>
    <w:rsid w:val="0D127E43"/>
    <w:rsid w:val="0D18857A"/>
    <w:rsid w:val="0D1C6942"/>
    <w:rsid w:val="0D214C85"/>
    <w:rsid w:val="0D21EBB2"/>
    <w:rsid w:val="0D30006B"/>
    <w:rsid w:val="0D34550B"/>
    <w:rsid w:val="0D40A1A6"/>
    <w:rsid w:val="0D44326D"/>
    <w:rsid w:val="0D444158"/>
    <w:rsid w:val="0D489568"/>
    <w:rsid w:val="0D568FAA"/>
    <w:rsid w:val="0D58E090"/>
    <w:rsid w:val="0D595328"/>
    <w:rsid w:val="0D67A0E9"/>
    <w:rsid w:val="0D6D7F0B"/>
    <w:rsid w:val="0D731A0C"/>
    <w:rsid w:val="0D7F93A3"/>
    <w:rsid w:val="0D818DF6"/>
    <w:rsid w:val="0D84D75B"/>
    <w:rsid w:val="0DA4021D"/>
    <w:rsid w:val="0DAE5DD4"/>
    <w:rsid w:val="0DB714B1"/>
    <w:rsid w:val="0DBA6C04"/>
    <w:rsid w:val="0DCB92DA"/>
    <w:rsid w:val="0DE0BBE8"/>
    <w:rsid w:val="0DFACBF8"/>
    <w:rsid w:val="0E000E39"/>
    <w:rsid w:val="0E007EBF"/>
    <w:rsid w:val="0E0F6E68"/>
    <w:rsid w:val="0E1A9254"/>
    <w:rsid w:val="0E1B3AB3"/>
    <w:rsid w:val="0E2C3E9C"/>
    <w:rsid w:val="0E4598CF"/>
    <w:rsid w:val="0E4EDACE"/>
    <w:rsid w:val="0E5297D0"/>
    <w:rsid w:val="0E53092D"/>
    <w:rsid w:val="0E546255"/>
    <w:rsid w:val="0E55BC79"/>
    <w:rsid w:val="0E56F886"/>
    <w:rsid w:val="0E58C0F0"/>
    <w:rsid w:val="0E6E54A3"/>
    <w:rsid w:val="0E8782D8"/>
    <w:rsid w:val="0EA49FCE"/>
    <w:rsid w:val="0EB0F44D"/>
    <w:rsid w:val="0EC8C39E"/>
    <w:rsid w:val="0ED15BCA"/>
    <w:rsid w:val="0ED28EC9"/>
    <w:rsid w:val="0ED438B4"/>
    <w:rsid w:val="0EDE4C16"/>
    <w:rsid w:val="0EE44DAB"/>
    <w:rsid w:val="0EE5B9B2"/>
    <w:rsid w:val="0EFE460F"/>
    <w:rsid w:val="0F01A161"/>
    <w:rsid w:val="0F094F6C"/>
    <w:rsid w:val="0F178C41"/>
    <w:rsid w:val="0F20DA8D"/>
    <w:rsid w:val="0F24FB70"/>
    <w:rsid w:val="0F3CD73F"/>
    <w:rsid w:val="0F497759"/>
    <w:rsid w:val="0F4B1F00"/>
    <w:rsid w:val="0F4EACF0"/>
    <w:rsid w:val="0F6D6A38"/>
    <w:rsid w:val="0F6E4E72"/>
    <w:rsid w:val="0F75559B"/>
    <w:rsid w:val="0F86E4BC"/>
    <w:rsid w:val="0F891A33"/>
    <w:rsid w:val="0F90FC26"/>
    <w:rsid w:val="0F9216DE"/>
    <w:rsid w:val="0FA3973F"/>
    <w:rsid w:val="0FA6998B"/>
    <w:rsid w:val="0FAE004D"/>
    <w:rsid w:val="0FB2C322"/>
    <w:rsid w:val="0FC18DED"/>
    <w:rsid w:val="0FCFBE1F"/>
    <w:rsid w:val="0FD7FAED"/>
    <w:rsid w:val="0FDB9F3B"/>
    <w:rsid w:val="0FDC6829"/>
    <w:rsid w:val="0FE8D11D"/>
    <w:rsid w:val="0FEFB3C7"/>
    <w:rsid w:val="0FF4A8FA"/>
    <w:rsid w:val="100494BB"/>
    <w:rsid w:val="100B1D27"/>
    <w:rsid w:val="100CBA92"/>
    <w:rsid w:val="1019AA56"/>
    <w:rsid w:val="101B33DD"/>
    <w:rsid w:val="1034C95E"/>
    <w:rsid w:val="1037E80F"/>
    <w:rsid w:val="1049DFC4"/>
    <w:rsid w:val="105402F1"/>
    <w:rsid w:val="105A2920"/>
    <w:rsid w:val="10622D01"/>
    <w:rsid w:val="10778720"/>
    <w:rsid w:val="107E5603"/>
    <w:rsid w:val="108498A1"/>
    <w:rsid w:val="109C2CA5"/>
    <w:rsid w:val="10A51FCD"/>
    <w:rsid w:val="10C59D57"/>
    <w:rsid w:val="10CDE8EF"/>
    <w:rsid w:val="10D3B6F1"/>
    <w:rsid w:val="10D50008"/>
    <w:rsid w:val="10D8D26D"/>
    <w:rsid w:val="10DECAAA"/>
    <w:rsid w:val="10E99A15"/>
    <w:rsid w:val="10FBD4CE"/>
    <w:rsid w:val="11007D85"/>
    <w:rsid w:val="110D25D0"/>
    <w:rsid w:val="1119DCD0"/>
    <w:rsid w:val="112AD16B"/>
    <w:rsid w:val="112B9706"/>
    <w:rsid w:val="112C5E25"/>
    <w:rsid w:val="1147BA51"/>
    <w:rsid w:val="114BAFCF"/>
    <w:rsid w:val="114D75AF"/>
    <w:rsid w:val="115975EF"/>
    <w:rsid w:val="115B98BD"/>
    <w:rsid w:val="116D0571"/>
    <w:rsid w:val="118006B0"/>
    <w:rsid w:val="118CBBD8"/>
    <w:rsid w:val="11A0E576"/>
    <w:rsid w:val="11A9484A"/>
    <w:rsid w:val="11AA6C29"/>
    <w:rsid w:val="11AECCDF"/>
    <w:rsid w:val="11B3292F"/>
    <w:rsid w:val="11D99F52"/>
    <w:rsid w:val="11E43693"/>
    <w:rsid w:val="11EC485A"/>
    <w:rsid w:val="11F1AB72"/>
    <w:rsid w:val="11F9136A"/>
    <w:rsid w:val="11FD64AE"/>
    <w:rsid w:val="122781DA"/>
    <w:rsid w:val="122A642E"/>
    <w:rsid w:val="122C7C35"/>
    <w:rsid w:val="12321847"/>
    <w:rsid w:val="1246CE66"/>
    <w:rsid w:val="124DB1F5"/>
    <w:rsid w:val="1252E3C4"/>
    <w:rsid w:val="125D4B44"/>
    <w:rsid w:val="125F5173"/>
    <w:rsid w:val="125FF6C3"/>
    <w:rsid w:val="127E7CD2"/>
    <w:rsid w:val="129EFDE1"/>
    <w:rsid w:val="12A429ED"/>
    <w:rsid w:val="12B280EB"/>
    <w:rsid w:val="12C8187C"/>
    <w:rsid w:val="12DC105C"/>
    <w:rsid w:val="12E15B41"/>
    <w:rsid w:val="12E8D0D6"/>
    <w:rsid w:val="12EE2D09"/>
    <w:rsid w:val="12EF3323"/>
    <w:rsid w:val="1304EE6F"/>
    <w:rsid w:val="13073BC0"/>
    <w:rsid w:val="13075EE1"/>
    <w:rsid w:val="131A1776"/>
    <w:rsid w:val="13281482"/>
    <w:rsid w:val="132EB933"/>
    <w:rsid w:val="133431D4"/>
    <w:rsid w:val="133766C6"/>
    <w:rsid w:val="1337966B"/>
    <w:rsid w:val="1344B88D"/>
    <w:rsid w:val="1345D9E8"/>
    <w:rsid w:val="134C67AF"/>
    <w:rsid w:val="134FD8CC"/>
    <w:rsid w:val="13513A8D"/>
    <w:rsid w:val="136734CC"/>
    <w:rsid w:val="1367F768"/>
    <w:rsid w:val="1378D94C"/>
    <w:rsid w:val="137C2B4F"/>
    <w:rsid w:val="137EB8BE"/>
    <w:rsid w:val="137F83C6"/>
    <w:rsid w:val="138615E5"/>
    <w:rsid w:val="1397AB2B"/>
    <w:rsid w:val="139FEF07"/>
    <w:rsid w:val="13ABFEDF"/>
    <w:rsid w:val="13C894AC"/>
    <w:rsid w:val="13CE175C"/>
    <w:rsid w:val="13D9713E"/>
    <w:rsid w:val="13FB6EED"/>
    <w:rsid w:val="140AC03B"/>
    <w:rsid w:val="1425E0D6"/>
    <w:rsid w:val="14265763"/>
    <w:rsid w:val="1429498F"/>
    <w:rsid w:val="14563ED2"/>
    <w:rsid w:val="14689D06"/>
    <w:rsid w:val="14897A5F"/>
    <w:rsid w:val="1496A280"/>
    <w:rsid w:val="149B8ED5"/>
    <w:rsid w:val="149C2977"/>
    <w:rsid w:val="14B015ED"/>
    <w:rsid w:val="14B24EBA"/>
    <w:rsid w:val="14B94CE8"/>
    <w:rsid w:val="14BC32A6"/>
    <w:rsid w:val="14BC579F"/>
    <w:rsid w:val="14C09593"/>
    <w:rsid w:val="14C82E2B"/>
    <w:rsid w:val="14CF23AF"/>
    <w:rsid w:val="14DB6FB5"/>
    <w:rsid w:val="14DEC72F"/>
    <w:rsid w:val="14E48175"/>
    <w:rsid w:val="14E58DA2"/>
    <w:rsid w:val="14E8193B"/>
    <w:rsid w:val="14EE2A15"/>
    <w:rsid w:val="14F048EF"/>
    <w:rsid w:val="14FE597A"/>
    <w:rsid w:val="150B7581"/>
    <w:rsid w:val="1512E533"/>
    <w:rsid w:val="15462A18"/>
    <w:rsid w:val="154FA6D8"/>
    <w:rsid w:val="154FEBDE"/>
    <w:rsid w:val="15543179"/>
    <w:rsid w:val="1555EF6B"/>
    <w:rsid w:val="155E0794"/>
    <w:rsid w:val="155FEBA0"/>
    <w:rsid w:val="1564650D"/>
    <w:rsid w:val="15649355"/>
    <w:rsid w:val="1573B726"/>
    <w:rsid w:val="1574E54B"/>
    <w:rsid w:val="158ED503"/>
    <w:rsid w:val="159723D0"/>
    <w:rsid w:val="15B15206"/>
    <w:rsid w:val="15D5092B"/>
    <w:rsid w:val="15D51555"/>
    <w:rsid w:val="15D7228A"/>
    <w:rsid w:val="15D9C05A"/>
    <w:rsid w:val="15E1D07B"/>
    <w:rsid w:val="15E97734"/>
    <w:rsid w:val="15F12DE2"/>
    <w:rsid w:val="16163B99"/>
    <w:rsid w:val="161A7D4B"/>
    <w:rsid w:val="16221B24"/>
    <w:rsid w:val="16243599"/>
    <w:rsid w:val="1624FDB1"/>
    <w:rsid w:val="163A481E"/>
    <w:rsid w:val="1642A606"/>
    <w:rsid w:val="1643C2C5"/>
    <w:rsid w:val="165CAD96"/>
    <w:rsid w:val="165FFC02"/>
    <w:rsid w:val="167C7946"/>
    <w:rsid w:val="16822334"/>
    <w:rsid w:val="1698521C"/>
    <w:rsid w:val="16A12CDD"/>
    <w:rsid w:val="16BA26A7"/>
    <w:rsid w:val="16BB67BF"/>
    <w:rsid w:val="16CD3B52"/>
    <w:rsid w:val="16CE15D8"/>
    <w:rsid w:val="16D6421E"/>
    <w:rsid w:val="16DE497E"/>
    <w:rsid w:val="16DEBE84"/>
    <w:rsid w:val="16E039ED"/>
    <w:rsid w:val="16E1FCB3"/>
    <w:rsid w:val="16E82F63"/>
    <w:rsid w:val="16E85649"/>
    <w:rsid w:val="16ECC292"/>
    <w:rsid w:val="16F1DDE1"/>
    <w:rsid w:val="16F525D2"/>
    <w:rsid w:val="16FB3AE2"/>
    <w:rsid w:val="170A2194"/>
    <w:rsid w:val="170A9A82"/>
    <w:rsid w:val="170C4B20"/>
    <w:rsid w:val="1712DA40"/>
    <w:rsid w:val="171D940E"/>
    <w:rsid w:val="1724A614"/>
    <w:rsid w:val="17284443"/>
    <w:rsid w:val="1728B9B1"/>
    <w:rsid w:val="172A2C07"/>
    <w:rsid w:val="172C33BB"/>
    <w:rsid w:val="17389E5D"/>
    <w:rsid w:val="17401BD9"/>
    <w:rsid w:val="1753372D"/>
    <w:rsid w:val="17560F6A"/>
    <w:rsid w:val="1764923B"/>
    <w:rsid w:val="177C01B2"/>
    <w:rsid w:val="177FC058"/>
    <w:rsid w:val="1789EB8E"/>
    <w:rsid w:val="17924DDF"/>
    <w:rsid w:val="179813D4"/>
    <w:rsid w:val="179C7F22"/>
    <w:rsid w:val="179D00C1"/>
    <w:rsid w:val="17A22CC3"/>
    <w:rsid w:val="17B4F5BF"/>
    <w:rsid w:val="17C28F62"/>
    <w:rsid w:val="17C3D6FB"/>
    <w:rsid w:val="17CACA70"/>
    <w:rsid w:val="17DE38B8"/>
    <w:rsid w:val="17E81E7C"/>
    <w:rsid w:val="17E967B4"/>
    <w:rsid w:val="17FE3EAA"/>
    <w:rsid w:val="1822623C"/>
    <w:rsid w:val="1828FFE0"/>
    <w:rsid w:val="1829ECC3"/>
    <w:rsid w:val="182D9594"/>
    <w:rsid w:val="182ED11F"/>
    <w:rsid w:val="183DEA62"/>
    <w:rsid w:val="18410EA7"/>
    <w:rsid w:val="184CB145"/>
    <w:rsid w:val="18584D4F"/>
    <w:rsid w:val="185EFBA5"/>
    <w:rsid w:val="185F14F2"/>
    <w:rsid w:val="1870BB2E"/>
    <w:rsid w:val="1873BABD"/>
    <w:rsid w:val="188367F4"/>
    <w:rsid w:val="18838B54"/>
    <w:rsid w:val="18877516"/>
    <w:rsid w:val="18881168"/>
    <w:rsid w:val="18B031B2"/>
    <w:rsid w:val="18B5AF4A"/>
    <w:rsid w:val="18BB127B"/>
    <w:rsid w:val="18BB161F"/>
    <w:rsid w:val="18C8414A"/>
    <w:rsid w:val="18C95446"/>
    <w:rsid w:val="18CC3C5E"/>
    <w:rsid w:val="18D21F34"/>
    <w:rsid w:val="18FD4182"/>
    <w:rsid w:val="190A6913"/>
    <w:rsid w:val="192AA91A"/>
    <w:rsid w:val="1931E131"/>
    <w:rsid w:val="193AD2C9"/>
    <w:rsid w:val="194E5BFE"/>
    <w:rsid w:val="19542CFC"/>
    <w:rsid w:val="19585FE3"/>
    <w:rsid w:val="1961BB72"/>
    <w:rsid w:val="1975E5CC"/>
    <w:rsid w:val="19819C90"/>
    <w:rsid w:val="1993050A"/>
    <w:rsid w:val="19971D68"/>
    <w:rsid w:val="19AA9588"/>
    <w:rsid w:val="19B77B6C"/>
    <w:rsid w:val="19B91BBE"/>
    <w:rsid w:val="19C6B35A"/>
    <w:rsid w:val="19D060BA"/>
    <w:rsid w:val="19DD42DC"/>
    <w:rsid w:val="19DE9863"/>
    <w:rsid w:val="19DF6C65"/>
    <w:rsid w:val="19E91F58"/>
    <w:rsid w:val="19F941D4"/>
    <w:rsid w:val="1A03B730"/>
    <w:rsid w:val="1A0AC025"/>
    <w:rsid w:val="1A1EC9EF"/>
    <w:rsid w:val="1A2B0DEE"/>
    <w:rsid w:val="1A319E5C"/>
    <w:rsid w:val="1A3229E4"/>
    <w:rsid w:val="1A325CB5"/>
    <w:rsid w:val="1A417A55"/>
    <w:rsid w:val="1A46FAC9"/>
    <w:rsid w:val="1A53F925"/>
    <w:rsid w:val="1A571149"/>
    <w:rsid w:val="1A5E71E5"/>
    <w:rsid w:val="1A5E9506"/>
    <w:rsid w:val="1A6129E5"/>
    <w:rsid w:val="1A69A4A2"/>
    <w:rsid w:val="1A6FE0F0"/>
    <w:rsid w:val="1A704C93"/>
    <w:rsid w:val="1A715704"/>
    <w:rsid w:val="1A717136"/>
    <w:rsid w:val="1A7C4557"/>
    <w:rsid w:val="1A860328"/>
    <w:rsid w:val="1A88ACE0"/>
    <w:rsid w:val="1A8CAD4F"/>
    <w:rsid w:val="1A9A4C5E"/>
    <w:rsid w:val="1A9CC942"/>
    <w:rsid w:val="1AA6D129"/>
    <w:rsid w:val="1AC11235"/>
    <w:rsid w:val="1ACE97B4"/>
    <w:rsid w:val="1AD680EE"/>
    <w:rsid w:val="1AE31A7C"/>
    <w:rsid w:val="1AF12481"/>
    <w:rsid w:val="1AF69BC3"/>
    <w:rsid w:val="1AFDFB50"/>
    <w:rsid w:val="1B049C84"/>
    <w:rsid w:val="1B063E0C"/>
    <w:rsid w:val="1B0CEC19"/>
    <w:rsid w:val="1B14BEB6"/>
    <w:rsid w:val="1B161606"/>
    <w:rsid w:val="1B18A27C"/>
    <w:rsid w:val="1B245940"/>
    <w:rsid w:val="1B2A50C8"/>
    <w:rsid w:val="1B38B281"/>
    <w:rsid w:val="1B3B9C31"/>
    <w:rsid w:val="1B402E46"/>
    <w:rsid w:val="1B423F7A"/>
    <w:rsid w:val="1B4521DB"/>
    <w:rsid w:val="1B47B37F"/>
    <w:rsid w:val="1B4CC63F"/>
    <w:rsid w:val="1B5399B3"/>
    <w:rsid w:val="1B5E1FFA"/>
    <w:rsid w:val="1B657285"/>
    <w:rsid w:val="1B7393FB"/>
    <w:rsid w:val="1B751992"/>
    <w:rsid w:val="1B7A0DD6"/>
    <w:rsid w:val="1B9591EF"/>
    <w:rsid w:val="1BA41EAE"/>
    <w:rsid w:val="1BA50C10"/>
    <w:rsid w:val="1BC2565B"/>
    <w:rsid w:val="1BC57DF9"/>
    <w:rsid w:val="1BCF9523"/>
    <w:rsid w:val="1BD13A6D"/>
    <w:rsid w:val="1BD462E9"/>
    <w:rsid w:val="1BD87781"/>
    <w:rsid w:val="1BFF7B07"/>
    <w:rsid w:val="1C135A90"/>
    <w:rsid w:val="1C1461AA"/>
    <w:rsid w:val="1C248EE2"/>
    <w:rsid w:val="1C265DA7"/>
    <w:rsid w:val="1C29A810"/>
    <w:rsid w:val="1C369BEA"/>
    <w:rsid w:val="1C384E49"/>
    <w:rsid w:val="1C3E7984"/>
    <w:rsid w:val="1C4374B7"/>
    <w:rsid w:val="1C482F4B"/>
    <w:rsid w:val="1C525C9A"/>
    <w:rsid w:val="1C5FE201"/>
    <w:rsid w:val="1C68C270"/>
    <w:rsid w:val="1C6A1F19"/>
    <w:rsid w:val="1C6F2D72"/>
    <w:rsid w:val="1C9589A2"/>
    <w:rsid w:val="1CA5D76C"/>
    <w:rsid w:val="1CD038C8"/>
    <w:rsid w:val="1CDECA31"/>
    <w:rsid w:val="1CE6DCE4"/>
    <w:rsid w:val="1CF0E182"/>
    <w:rsid w:val="1CF0ED10"/>
    <w:rsid w:val="1CF2085A"/>
    <w:rsid w:val="1CF44E7D"/>
    <w:rsid w:val="1D0021C0"/>
    <w:rsid w:val="1D08B082"/>
    <w:rsid w:val="1D28DF76"/>
    <w:rsid w:val="1D386C12"/>
    <w:rsid w:val="1D41275F"/>
    <w:rsid w:val="1D575863"/>
    <w:rsid w:val="1D669E3B"/>
    <w:rsid w:val="1D6B99EE"/>
    <w:rsid w:val="1D755E49"/>
    <w:rsid w:val="1D7B7266"/>
    <w:rsid w:val="1D86C05E"/>
    <w:rsid w:val="1D97EE4D"/>
    <w:rsid w:val="1DA39B70"/>
    <w:rsid w:val="1DA650CC"/>
    <w:rsid w:val="1DAA20D5"/>
    <w:rsid w:val="1DB792B1"/>
    <w:rsid w:val="1DBDA3EA"/>
    <w:rsid w:val="1DBECA2B"/>
    <w:rsid w:val="1DC6ECD8"/>
    <w:rsid w:val="1DD5C779"/>
    <w:rsid w:val="1DF0A523"/>
    <w:rsid w:val="1E10AC64"/>
    <w:rsid w:val="1E14B900"/>
    <w:rsid w:val="1E1AAC2D"/>
    <w:rsid w:val="1E21B96C"/>
    <w:rsid w:val="1E25E522"/>
    <w:rsid w:val="1E2EC539"/>
    <w:rsid w:val="1E3958CA"/>
    <w:rsid w:val="1E3AF310"/>
    <w:rsid w:val="1E3D126E"/>
    <w:rsid w:val="1E3E504A"/>
    <w:rsid w:val="1E48A992"/>
    <w:rsid w:val="1E49EF41"/>
    <w:rsid w:val="1E4A3763"/>
    <w:rsid w:val="1E4EE278"/>
    <w:rsid w:val="1E526E3A"/>
    <w:rsid w:val="1E53B8D6"/>
    <w:rsid w:val="1E53D433"/>
    <w:rsid w:val="1E547E21"/>
    <w:rsid w:val="1E5CD1E4"/>
    <w:rsid w:val="1E7509D6"/>
    <w:rsid w:val="1E8024E1"/>
    <w:rsid w:val="1E9CC729"/>
    <w:rsid w:val="1ED000F9"/>
    <w:rsid w:val="1EDFC36B"/>
    <w:rsid w:val="1EE13FB3"/>
    <w:rsid w:val="1EE15876"/>
    <w:rsid w:val="1EE33509"/>
    <w:rsid w:val="1EEE6FD2"/>
    <w:rsid w:val="1F06515E"/>
    <w:rsid w:val="1F0A59E9"/>
    <w:rsid w:val="1F0CC089"/>
    <w:rsid w:val="1F10B5FC"/>
    <w:rsid w:val="1F115406"/>
    <w:rsid w:val="1F19D9EB"/>
    <w:rsid w:val="1F20D6A3"/>
    <w:rsid w:val="1F27F0BE"/>
    <w:rsid w:val="1F42FEF6"/>
    <w:rsid w:val="1F54A5BD"/>
    <w:rsid w:val="1F56664A"/>
    <w:rsid w:val="1F5AFA20"/>
    <w:rsid w:val="1F740A9B"/>
    <w:rsid w:val="1F8E5D35"/>
    <w:rsid w:val="1FA1FEC8"/>
    <w:rsid w:val="1FB120D9"/>
    <w:rsid w:val="1FB21F8C"/>
    <w:rsid w:val="1FBDC4DE"/>
    <w:rsid w:val="1FBE29AE"/>
    <w:rsid w:val="1FDB4D1F"/>
    <w:rsid w:val="1FDEDC1E"/>
    <w:rsid w:val="1FEFFD10"/>
    <w:rsid w:val="1FF6AC71"/>
    <w:rsid w:val="1FFA2E8F"/>
    <w:rsid w:val="1FFB322C"/>
    <w:rsid w:val="200CFACE"/>
    <w:rsid w:val="20129FA4"/>
    <w:rsid w:val="2013F5D2"/>
    <w:rsid w:val="20190728"/>
    <w:rsid w:val="201B1DCE"/>
    <w:rsid w:val="202E1D78"/>
    <w:rsid w:val="202E96E1"/>
    <w:rsid w:val="203F64D5"/>
    <w:rsid w:val="2051FC08"/>
    <w:rsid w:val="20531FB2"/>
    <w:rsid w:val="2053AA34"/>
    <w:rsid w:val="2067980F"/>
    <w:rsid w:val="206BBA52"/>
    <w:rsid w:val="206D83B8"/>
    <w:rsid w:val="2072A103"/>
    <w:rsid w:val="207FB322"/>
    <w:rsid w:val="2083FB58"/>
    <w:rsid w:val="208C37C2"/>
    <w:rsid w:val="20953222"/>
    <w:rsid w:val="20A21425"/>
    <w:rsid w:val="20A3405D"/>
    <w:rsid w:val="20A7551D"/>
    <w:rsid w:val="20A905DF"/>
    <w:rsid w:val="20B01CFC"/>
    <w:rsid w:val="20B04F8B"/>
    <w:rsid w:val="20B706F5"/>
    <w:rsid w:val="20B72289"/>
    <w:rsid w:val="20BB7DE6"/>
    <w:rsid w:val="20BD0CE5"/>
    <w:rsid w:val="20BE5D03"/>
    <w:rsid w:val="20D19E79"/>
    <w:rsid w:val="20D5E95D"/>
    <w:rsid w:val="20F02FC1"/>
    <w:rsid w:val="20F0C2ED"/>
    <w:rsid w:val="2107C458"/>
    <w:rsid w:val="210D212D"/>
    <w:rsid w:val="2142A2B2"/>
    <w:rsid w:val="214E0169"/>
    <w:rsid w:val="214E202A"/>
    <w:rsid w:val="214E6266"/>
    <w:rsid w:val="214EE383"/>
    <w:rsid w:val="2152F9F3"/>
    <w:rsid w:val="21589EC9"/>
    <w:rsid w:val="21762161"/>
    <w:rsid w:val="217E86E6"/>
    <w:rsid w:val="217F727D"/>
    <w:rsid w:val="21840310"/>
    <w:rsid w:val="218F16ED"/>
    <w:rsid w:val="219367F3"/>
    <w:rsid w:val="21962E50"/>
    <w:rsid w:val="2196804D"/>
    <w:rsid w:val="219BB1CD"/>
    <w:rsid w:val="219E7CA7"/>
    <w:rsid w:val="21A1844D"/>
    <w:rsid w:val="21A4EFE3"/>
    <w:rsid w:val="21AF3631"/>
    <w:rsid w:val="21B2B338"/>
    <w:rsid w:val="21BA4770"/>
    <w:rsid w:val="21BA8B17"/>
    <w:rsid w:val="21C5B7B2"/>
    <w:rsid w:val="21CCBC95"/>
    <w:rsid w:val="21D16E76"/>
    <w:rsid w:val="21DB711B"/>
    <w:rsid w:val="21DE285C"/>
    <w:rsid w:val="21E8B167"/>
    <w:rsid w:val="21EB3268"/>
    <w:rsid w:val="21ED8E42"/>
    <w:rsid w:val="21EDC046"/>
    <w:rsid w:val="21F41A7A"/>
    <w:rsid w:val="2200A6B7"/>
    <w:rsid w:val="2205D0BB"/>
    <w:rsid w:val="2218451A"/>
    <w:rsid w:val="2219DDC9"/>
    <w:rsid w:val="221AC1B4"/>
    <w:rsid w:val="221FE01B"/>
    <w:rsid w:val="2220C9D4"/>
    <w:rsid w:val="222ECF7C"/>
    <w:rsid w:val="223546EB"/>
    <w:rsid w:val="2236729B"/>
    <w:rsid w:val="2236F4B4"/>
    <w:rsid w:val="2248BC6B"/>
    <w:rsid w:val="22499AE7"/>
    <w:rsid w:val="224DC53A"/>
    <w:rsid w:val="224F155F"/>
    <w:rsid w:val="2252F2C6"/>
    <w:rsid w:val="225C0E9D"/>
    <w:rsid w:val="22682209"/>
    <w:rsid w:val="2274C866"/>
    <w:rsid w:val="2277BDBE"/>
    <w:rsid w:val="22834502"/>
    <w:rsid w:val="228C4F6A"/>
    <w:rsid w:val="228CEBE0"/>
    <w:rsid w:val="228E5240"/>
    <w:rsid w:val="2295B703"/>
    <w:rsid w:val="22A022B7"/>
    <w:rsid w:val="22BEC417"/>
    <w:rsid w:val="22CC6778"/>
    <w:rsid w:val="22E3C96D"/>
    <w:rsid w:val="23013300"/>
    <w:rsid w:val="23073FB6"/>
    <w:rsid w:val="230CC6C3"/>
    <w:rsid w:val="230D69CE"/>
    <w:rsid w:val="230F93E2"/>
    <w:rsid w:val="231C4F5E"/>
    <w:rsid w:val="231EA4A5"/>
    <w:rsid w:val="23228220"/>
    <w:rsid w:val="23246621"/>
    <w:rsid w:val="2329C80E"/>
    <w:rsid w:val="23388025"/>
    <w:rsid w:val="2339FB24"/>
    <w:rsid w:val="2341DC37"/>
    <w:rsid w:val="234E64AE"/>
    <w:rsid w:val="2355204A"/>
    <w:rsid w:val="23602992"/>
    <w:rsid w:val="236F7DB3"/>
    <w:rsid w:val="23717E7C"/>
    <w:rsid w:val="238EDCD2"/>
    <w:rsid w:val="23A26B65"/>
    <w:rsid w:val="23B6F08B"/>
    <w:rsid w:val="23B86B99"/>
    <w:rsid w:val="23B94C83"/>
    <w:rsid w:val="23C7AE32"/>
    <w:rsid w:val="23CD687C"/>
    <w:rsid w:val="23D2BA7D"/>
    <w:rsid w:val="23D47BE3"/>
    <w:rsid w:val="23DFF826"/>
    <w:rsid w:val="23E487CA"/>
    <w:rsid w:val="23FD8F99"/>
    <w:rsid w:val="23FFBBC0"/>
    <w:rsid w:val="24093E2E"/>
    <w:rsid w:val="2417F643"/>
    <w:rsid w:val="24252656"/>
    <w:rsid w:val="242AB1CE"/>
    <w:rsid w:val="247FEBA3"/>
    <w:rsid w:val="248178BF"/>
    <w:rsid w:val="24941EF4"/>
    <w:rsid w:val="249D22E1"/>
    <w:rsid w:val="24A0D01E"/>
    <w:rsid w:val="24A865AF"/>
    <w:rsid w:val="24B5D1CF"/>
    <w:rsid w:val="24BAB4E3"/>
    <w:rsid w:val="24BE7482"/>
    <w:rsid w:val="24C5ED66"/>
    <w:rsid w:val="24CEE1A3"/>
    <w:rsid w:val="24D09FA2"/>
    <w:rsid w:val="24D0F687"/>
    <w:rsid w:val="24D3AC18"/>
    <w:rsid w:val="24D862C0"/>
    <w:rsid w:val="24DEE428"/>
    <w:rsid w:val="24E6062F"/>
    <w:rsid w:val="24FA77E4"/>
    <w:rsid w:val="250F1D5B"/>
    <w:rsid w:val="250FD4EE"/>
    <w:rsid w:val="2525B459"/>
    <w:rsid w:val="252AA76C"/>
    <w:rsid w:val="254F99BE"/>
    <w:rsid w:val="25507FDD"/>
    <w:rsid w:val="2552DB34"/>
    <w:rsid w:val="255419B2"/>
    <w:rsid w:val="2554C3C2"/>
    <w:rsid w:val="2558CC28"/>
    <w:rsid w:val="2566D029"/>
    <w:rsid w:val="256BA20C"/>
    <w:rsid w:val="256C2ACF"/>
    <w:rsid w:val="2572423D"/>
    <w:rsid w:val="2575171F"/>
    <w:rsid w:val="2583E5D8"/>
    <w:rsid w:val="2589E19B"/>
    <w:rsid w:val="259497F4"/>
    <w:rsid w:val="259B1C72"/>
    <w:rsid w:val="25B4C77C"/>
    <w:rsid w:val="25B5BC5D"/>
    <w:rsid w:val="25C03DB1"/>
    <w:rsid w:val="25C0635C"/>
    <w:rsid w:val="25C1F8D6"/>
    <w:rsid w:val="25CCD4B9"/>
    <w:rsid w:val="25E0639C"/>
    <w:rsid w:val="25E63131"/>
    <w:rsid w:val="25E77824"/>
    <w:rsid w:val="25ED0BE7"/>
    <w:rsid w:val="25FAD6EB"/>
    <w:rsid w:val="25FC27AF"/>
    <w:rsid w:val="25FD8B2F"/>
    <w:rsid w:val="25FF777A"/>
    <w:rsid w:val="260C7118"/>
    <w:rsid w:val="2610CB22"/>
    <w:rsid w:val="26170886"/>
    <w:rsid w:val="2620D239"/>
    <w:rsid w:val="2622714C"/>
    <w:rsid w:val="263E1C26"/>
    <w:rsid w:val="2649C45D"/>
    <w:rsid w:val="2657FE07"/>
    <w:rsid w:val="265C06E3"/>
    <w:rsid w:val="265C3207"/>
    <w:rsid w:val="2664C1D4"/>
    <w:rsid w:val="266A44F4"/>
    <w:rsid w:val="269C9B44"/>
    <w:rsid w:val="26AFC599"/>
    <w:rsid w:val="26B52A3D"/>
    <w:rsid w:val="26C04924"/>
    <w:rsid w:val="26C1D551"/>
    <w:rsid w:val="26D66A27"/>
    <w:rsid w:val="26DE3A0C"/>
    <w:rsid w:val="26DF6BF6"/>
    <w:rsid w:val="26E19828"/>
    <w:rsid w:val="26E67938"/>
    <w:rsid w:val="26E9F742"/>
    <w:rsid w:val="26FAA1DF"/>
    <w:rsid w:val="270103C3"/>
    <w:rsid w:val="270FB814"/>
    <w:rsid w:val="271D63EC"/>
    <w:rsid w:val="272DA2A4"/>
    <w:rsid w:val="273BD095"/>
    <w:rsid w:val="273D26C3"/>
    <w:rsid w:val="27629844"/>
    <w:rsid w:val="27728EFB"/>
    <w:rsid w:val="2774E278"/>
    <w:rsid w:val="277B3A11"/>
    <w:rsid w:val="277EE7CF"/>
    <w:rsid w:val="27898BC7"/>
    <w:rsid w:val="278C29C1"/>
    <w:rsid w:val="278C6CA8"/>
    <w:rsid w:val="27A0D5B5"/>
    <w:rsid w:val="27A3830A"/>
    <w:rsid w:val="27A99BC4"/>
    <w:rsid w:val="27AD9899"/>
    <w:rsid w:val="27C1F0FA"/>
    <w:rsid w:val="27D3B5FC"/>
    <w:rsid w:val="27D50C4D"/>
    <w:rsid w:val="27DCEA6E"/>
    <w:rsid w:val="27E594BE"/>
    <w:rsid w:val="27F5DF80"/>
    <w:rsid w:val="27F65325"/>
    <w:rsid w:val="27FD99BB"/>
    <w:rsid w:val="2802A977"/>
    <w:rsid w:val="280B3292"/>
    <w:rsid w:val="280DF001"/>
    <w:rsid w:val="281546AA"/>
    <w:rsid w:val="283356D1"/>
    <w:rsid w:val="283A594B"/>
    <w:rsid w:val="283FE6FA"/>
    <w:rsid w:val="28486434"/>
    <w:rsid w:val="28521D97"/>
    <w:rsid w:val="28586325"/>
    <w:rsid w:val="286938C6"/>
    <w:rsid w:val="2869540D"/>
    <w:rsid w:val="28744399"/>
    <w:rsid w:val="2875FD5E"/>
    <w:rsid w:val="289944FA"/>
    <w:rsid w:val="289C801B"/>
    <w:rsid w:val="28A17EC8"/>
    <w:rsid w:val="28A6EC42"/>
    <w:rsid w:val="28AD2475"/>
    <w:rsid w:val="28B3339F"/>
    <w:rsid w:val="28BE12B5"/>
    <w:rsid w:val="28D0A0DA"/>
    <w:rsid w:val="28D1EA98"/>
    <w:rsid w:val="28D2CF13"/>
    <w:rsid w:val="28D53461"/>
    <w:rsid w:val="28E9CACD"/>
    <w:rsid w:val="28ED5574"/>
    <w:rsid w:val="28FD94C1"/>
    <w:rsid w:val="28FDACAE"/>
    <w:rsid w:val="29011F99"/>
    <w:rsid w:val="2909F0B5"/>
    <w:rsid w:val="29161C40"/>
    <w:rsid w:val="291736EE"/>
    <w:rsid w:val="291E776D"/>
    <w:rsid w:val="293286DF"/>
    <w:rsid w:val="29336F58"/>
    <w:rsid w:val="2934F82C"/>
    <w:rsid w:val="293B7309"/>
    <w:rsid w:val="294D7562"/>
    <w:rsid w:val="29526044"/>
    <w:rsid w:val="29579A5B"/>
    <w:rsid w:val="2959134E"/>
    <w:rsid w:val="29613B20"/>
    <w:rsid w:val="29692F41"/>
    <w:rsid w:val="296A12D7"/>
    <w:rsid w:val="297C910A"/>
    <w:rsid w:val="297C9851"/>
    <w:rsid w:val="298226FC"/>
    <w:rsid w:val="29834364"/>
    <w:rsid w:val="2985C5D4"/>
    <w:rsid w:val="29B29C76"/>
    <w:rsid w:val="29CF3D47"/>
    <w:rsid w:val="29EE2F89"/>
    <w:rsid w:val="2A079255"/>
    <w:rsid w:val="2A1E671C"/>
    <w:rsid w:val="2A40CE18"/>
    <w:rsid w:val="2A43139E"/>
    <w:rsid w:val="2A547CE6"/>
    <w:rsid w:val="2A5773A1"/>
    <w:rsid w:val="2A60C90C"/>
    <w:rsid w:val="2A62C840"/>
    <w:rsid w:val="2A654366"/>
    <w:rsid w:val="2A6BDEDB"/>
    <w:rsid w:val="2A77B0D9"/>
    <w:rsid w:val="2A814230"/>
    <w:rsid w:val="2A82FE95"/>
    <w:rsid w:val="2A8C1EEF"/>
    <w:rsid w:val="2A8D217C"/>
    <w:rsid w:val="2A9C26F2"/>
    <w:rsid w:val="2A9E1ACD"/>
    <w:rsid w:val="2A9F8EDC"/>
    <w:rsid w:val="2AA7877E"/>
    <w:rsid w:val="2AAC5E0F"/>
    <w:rsid w:val="2AB0A461"/>
    <w:rsid w:val="2AB636FF"/>
    <w:rsid w:val="2AB7F217"/>
    <w:rsid w:val="2AC0DBBC"/>
    <w:rsid w:val="2AD93BA8"/>
    <w:rsid w:val="2AE5FD40"/>
    <w:rsid w:val="2AFFEACE"/>
    <w:rsid w:val="2B0CE810"/>
    <w:rsid w:val="2B193891"/>
    <w:rsid w:val="2B23C901"/>
    <w:rsid w:val="2B26B9C4"/>
    <w:rsid w:val="2B308216"/>
    <w:rsid w:val="2B373B38"/>
    <w:rsid w:val="2B37CDB4"/>
    <w:rsid w:val="2B4A1539"/>
    <w:rsid w:val="2B5083AE"/>
    <w:rsid w:val="2B546A5F"/>
    <w:rsid w:val="2B5B6738"/>
    <w:rsid w:val="2B5F3610"/>
    <w:rsid w:val="2B615837"/>
    <w:rsid w:val="2B64D9F8"/>
    <w:rsid w:val="2B79206C"/>
    <w:rsid w:val="2B8AA1DE"/>
    <w:rsid w:val="2B91AAEF"/>
    <w:rsid w:val="2BC1EF41"/>
    <w:rsid w:val="2BC76EF5"/>
    <w:rsid w:val="2BD1636E"/>
    <w:rsid w:val="2BD8AA5B"/>
    <w:rsid w:val="2BE2CAD8"/>
    <w:rsid w:val="2BE58215"/>
    <w:rsid w:val="2BE7EF88"/>
    <w:rsid w:val="2BEC7FA3"/>
    <w:rsid w:val="2BF81B6D"/>
    <w:rsid w:val="2BFBE654"/>
    <w:rsid w:val="2C00BBC6"/>
    <w:rsid w:val="2C266227"/>
    <w:rsid w:val="2C3404B9"/>
    <w:rsid w:val="2C3F00FE"/>
    <w:rsid w:val="2C47ADFD"/>
    <w:rsid w:val="2C48964F"/>
    <w:rsid w:val="2C49D3F4"/>
    <w:rsid w:val="2C57540A"/>
    <w:rsid w:val="2C6542BF"/>
    <w:rsid w:val="2C6EF81E"/>
    <w:rsid w:val="2C8AC43C"/>
    <w:rsid w:val="2C9A9D86"/>
    <w:rsid w:val="2CA14EF2"/>
    <w:rsid w:val="2CAEA96D"/>
    <w:rsid w:val="2CEBDB4A"/>
    <w:rsid w:val="2CF02722"/>
    <w:rsid w:val="2CFB61E0"/>
    <w:rsid w:val="2CFB75EF"/>
    <w:rsid w:val="2D111253"/>
    <w:rsid w:val="2D1356D4"/>
    <w:rsid w:val="2D1B5F1A"/>
    <w:rsid w:val="2D24C899"/>
    <w:rsid w:val="2D282D30"/>
    <w:rsid w:val="2D2BD22D"/>
    <w:rsid w:val="2D2D487F"/>
    <w:rsid w:val="2D3245C5"/>
    <w:rsid w:val="2D4BB623"/>
    <w:rsid w:val="2D508606"/>
    <w:rsid w:val="2D58DCE8"/>
    <w:rsid w:val="2D5A00BA"/>
    <w:rsid w:val="2D5FEFEF"/>
    <w:rsid w:val="2D704FE7"/>
    <w:rsid w:val="2D753F5E"/>
    <w:rsid w:val="2D76A8DF"/>
    <w:rsid w:val="2D775994"/>
    <w:rsid w:val="2D7C724B"/>
    <w:rsid w:val="2D87678F"/>
    <w:rsid w:val="2DAEE948"/>
    <w:rsid w:val="2DBBB041"/>
    <w:rsid w:val="2DD5DE54"/>
    <w:rsid w:val="2DD60B30"/>
    <w:rsid w:val="2DD91390"/>
    <w:rsid w:val="2DDA842C"/>
    <w:rsid w:val="2DDC619C"/>
    <w:rsid w:val="2DEDA090"/>
    <w:rsid w:val="2DF1CEBF"/>
    <w:rsid w:val="2DF8B80D"/>
    <w:rsid w:val="2DFB8315"/>
    <w:rsid w:val="2E05B591"/>
    <w:rsid w:val="2E07CFA4"/>
    <w:rsid w:val="2E0815E6"/>
    <w:rsid w:val="2E177C3F"/>
    <w:rsid w:val="2E1A02E1"/>
    <w:rsid w:val="2E2FC4F2"/>
    <w:rsid w:val="2E377921"/>
    <w:rsid w:val="2E381A9F"/>
    <w:rsid w:val="2E492F54"/>
    <w:rsid w:val="2E49F974"/>
    <w:rsid w:val="2E7F4923"/>
    <w:rsid w:val="2E8338A1"/>
    <w:rsid w:val="2E83D117"/>
    <w:rsid w:val="2E8622DE"/>
    <w:rsid w:val="2E8DE46D"/>
    <w:rsid w:val="2E90A71B"/>
    <w:rsid w:val="2E9E9E07"/>
    <w:rsid w:val="2EB6359C"/>
    <w:rsid w:val="2EBF47E4"/>
    <w:rsid w:val="2EC0E1F6"/>
    <w:rsid w:val="2EC780C5"/>
    <w:rsid w:val="2ECF91FD"/>
    <w:rsid w:val="2ED08936"/>
    <w:rsid w:val="2ED6C7E2"/>
    <w:rsid w:val="2EDCBC2F"/>
    <w:rsid w:val="2EE33DC6"/>
    <w:rsid w:val="2EE48E09"/>
    <w:rsid w:val="2EE7361A"/>
    <w:rsid w:val="2EF24DC3"/>
    <w:rsid w:val="2EF5D9FB"/>
    <w:rsid w:val="2EFA7813"/>
    <w:rsid w:val="2F0512CC"/>
    <w:rsid w:val="2F0E33D1"/>
    <w:rsid w:val="2F115ABD"/>
    <w:rsid w:val="2F130D15"/>
    <w:rsid w:val="2F16E508"/>
    <w:rsid w:val="2F3B3E47"/>
    <w:rsid w:val="2F4324EA"/>
    <w:rsid w:val="2F4AD7E0"/>
    <w:rsid w:val="2F566FB8"/>
    <w:rsid w:val="2F607219"/>
    <w:rsid w:val="2F6572CA"/>
    <w:rsid w:val="2F7174A1"/>
    <w:rsid w:val="2F8C3378"/>
    <w:rsid w:val="2F90F8EF"/>
    <w:rsid w:val="2F951D1D"/>
    <w:rsid w:val="2F9DC024"/>
    <w:rsid w:val="2FA50547"/>
    <w:rsid w:val="2FA7D7BE"/>
    <w:rsid w:val="2FC3C8EE"/>
    <w:rsid w:val="2FC5A486"/>
    <w:rsid w:val="2FEDE931"/>
    <w:rsid w:val="2FEF1B43"/>
    <w:rsid w:val="30053EA0"/>
    <w:rsid w:val="300888E9"/>
    <w:rsid w:val="3009671D"/>
    <w:rsid w:val="30188902"/>
    <w:rsid w:val="301E8939"/>
    <w:rsid w:val="3029110D"/>
    <w:rsid w:val="302BC5D4"/>
    <w:rsid w:val="3032AC8D"/>
    <w:rsid w:val="3032CF35"/>
    <w:rsid w:val="30389A04"/>
    <w:rsid w:val="303B5056"/>
    <w:rsid w:val="303C15C1"/>
    <w:rsid w:val="304AC54D"/>
    <w:rsid w:val="304DFD32"/>
    <w:rsid w:val="3054BA39"/>
    <w:rsid w:val="30564338"/>
    <w:rsid w:val="305A71B9"/>
    <w:rsid w:val="305C421D"/>
    <w:rsid w:val="30622F90"/>
    <w:rsid w:val="30782ABB"/>
    <w:rsid w:val="3080B104"/>
    <w:rsid w:val="30894B32"/>
    <w:rsid w:val="3091C6CC"/>
    <w:rsid w:val="30958248"/>
    <w:rsid w:val="309AA4DE"/>
    <w:rsid w:val="30A4F5DA"/>
    <w:rsid w:val="30A67568"/>
    <w:rsid w:val="30AC231E"/>
    <w:rsid w:val="30B957DF"/>
    <w:rsid w:val="30BCEC84"/>
    <w:rsid w:val="30D6CA41"/>
    <w:rsid w:val="30E21B63"/>
    <w:rsid w:val="30F96BB1"/>
    <w:rsid w:val="3109BA43"/>
    <w:rsid w:val="31102C8E"/>
    <w:rsid w:val="31120228"/>
    <w:rsid w:val="312C367E"/>
    <w:rsid w:val="312F7284"/>
    <w:rsid w:val="313F561E"/>
    <w:rsid w:val="3140727B"/>
    <w:rsid w:val="315024E0"/>
    <w:rsid w:val="31613E52"/>
    <w:rsid w:val="316443F4"/>
    <w:rsid w:val="31776EC3"/>
    <w:rsid w:val="3177F02C"/>
    <w:rsid w:val="31959E0F"/>
    <w:rsid w:val="31A15D50"/>
    <w:rsid w:val="31B02B4F"/>
    <w:rsid w:val="31B84DE1"/>
    <w:rsid w:val="31BDCAA1"/>
    <w:rsid w:val="31C04FBF"/>
    <w:rsid w:val="31C3C664"/>
    <w:rsid w:val="31E7085D"/>
    <w:rsid w:val="31E758F4"/>
    <w:rsid w:val="31F35AB6"/>
    <w:rsid w:val="3201939B"/>
    <w:rsid w:val="321403DA"/>
    <w:rsid w:val="32162776"/>
    <w:rsid w:val="32168800"/>
    <w:rsid w:val="324E31A0"/>
    <w:rsid w:val="3255BEE8"/>
    <w:rsid w:val="325825EB"/>
    <w:rsid w:val="325BFCEB"/>
    <w:rsid w:val="32607A5D"/>
    <w:rsid w:val="3260D889"/>
    <w:rsid w:val="3262C8BB"/>
    <w:rsid w:val="327096D9"/>
    <w:rsid w:val="3278B88B"/>
    <w:rsid w:val="3283439F"/>
    <w:rsid w:val="328B1F01"/>
    <w:rsid w:val="32985AD0"/>
    <w:rsid w:val="32985DC9"/>
    <w:rsid w:val="32A5D7CB"/>
    <w:rsid w:val="32C75389"/>
    <w:rsid w:val="32D66B9C"/>
    <w:rsid w:val="32E0A73E"/>
    <w:rsid w:val="32EB5A9F"/>
    <w:rsid w:val="32F52A38"/>
    <w:rsid w:val="32F74339"/>
    <w:rsid w:val="32F7784F"/>
    <w:rsid w:val="32F822B2"/>
    <w:rsid w:val="3300F528"/>
    <w:rsid w:val="33043385"/>
    <w:rsid w:val="3312E1D0"/>
    <w:rsid w:val="33152533"/>
    <w:rsid w:val="33190A7B"/>
    <w:rsid w:val="331C9199"/>
    <w:rsid w:val="331CD31F"/>
    <w:rsid w:val="3326E69C"/>
    <w:rsid w:val="3329B1CB"/>
    <w:rsid w:val="332BD432"/>
    <w:rsid w:val="334076CA"/>
    <w:rsid w:val="334B6F5E"/>
    <w:rsid w:val="33529950"/>
    <w:rsid w:val="3362F8FE"/>
    <w:rsid w:val="336564F7"/>
    <w:rsid w:val="337AF26B"/>
    <w:rsid w:val="33807261"/>
    <w:rsid w:val="3384D992"/>
    <w:rsid w:val="3386CE7F"/>
    <w:rsid w:val="339AA49F"/>
    <w:rsid w:val="339D21C2"/>
    <w:rsid w:val="33A0C893"/>
    <w:rsid w:val="33C16EB4"/>
    <w:rsid w:val="33C66E79"/>
    <w:rsid w:val="33C6B80D"/>
    <w:rsid w:val="33CAD3CF"/>
    <w:rsid w:val="33CAFF71"/>
    <w:rsid w:val="33D88150"/>
    <w:rsid w:val="33E2B2C1"/>
    <w:rsid w:val="33E75548"/>
    <w:rsid w:val="33F72C2F"/>
    <w:rsid w:val="33FD0D7B"/>
    <w:rsid w:val="340E3DD0"/>
    <w:rsid w:val="34160BB1"/>
    <w:rsid w:val="34181D48"/>
    <w:rsid w:val="3421C625"/>
    <w:rsid w:val="342C3037"/>
    <w:rsid w:val="3430ED0F"/>
    <w:rsid w:val="343965AF"/>
    <w:rsid w:val="343BC4F2"/>
    <w:rsid w:val="34465375"/>
    <w:rsid w:val="34480BB8"/>
    <w:rsid w:val="344A8466"/>
    <w:rsid w:val="3458E626"/>
    <w:rsid w:val="34834846"/>
    <w:rsid w:val="3483E946"/>
    <w:rsid w:val="34844BD3"/>
    <w:rsid w:val="34897BE7"/>
    <w:rsid w:val="3496BAD8"/>
    <w:rsid w:val="349EC14A"/>
    <w:rsid w:val="34A4E913"/>
    <w:rsid w:val="34A53302"/>
    <w:rsid w:val="34AC00FB"/>
    <w:rsid w:val="34BFAF9F"/>
    <w:rsid w:val="34CC290D"/>
    <w:rsid w:val="34E6DA8A"/>
    <w:rsid w:val="34ECBBD0"/>
    <w:rsid w:val="34F4DF7E"/>
    <w:rsid w:val="34F5D185"/>
    <w:rsid w:val="35084FFC"/>
    <w:rsid w:val="3509F4D7"/>
    <w:rsid w:val="350B2F29"/>
    <w:rsid w:val="35102757"/>
    <w:rsid w:val="35147B57"/>
    <w:rsid w:val="351DA3C5"/>
    <w:rsid w:val="3521C2B8"/>
    <w:rsid w:val="35238B85"/>
    <w:rsid w:val="35326617"/>
    <w:rsid w:val="35409315"/>
    <w:rsid w:val="354B5FEF"/>
    <w:rsid w:val="3556C808"/>
    <w:rsid w:val="356181E3"/>
    <w:rsid w:val="3575393E"/>
    <w:rsid w:val="358842E6"/>
    <w:rsid w:val="35936226"/>
    <w:rsid w:val="35B1404D"/>
    <w:rsid w:val="35B82855"/>
    <w:rsid w:val="35D701F8"/>
    <w:rsid w:val="35DD9AEB"/>
    <w:rsid w:val="35E9465D"/>
    <w:rsid w:val="35FCC535"/>
    <w:rsid w:val="3606902B"/>
    <w:rsid w:val="360AC867"/>
    <w:rsid w:val="360B3B5D"/>
    <w:rsid w:val="361913C5"/>
    <w:rsid w:val="362F12AF"/>
    <w:rsid w:val="362F638C"/>
    <w:rsid w:val="36309855"/>
    <w:rsid w:val="3631BEDC"/>
    <w:rsid w:val="3632AECE"/>
    <w:rsid w:val="36377391"/>
    <w:rsid w:val="3638B230"/>
    <w:rsid w:val="36555C33"/>
    <w:rsid w:val="3657556C"/>
    <w:rsid w:val="365A98E4"/>
    <w:rsid w:val="36600EC7"/>
    <w:rsid w:val="366B3E5E"/>
    <w:rsid w:val="366D4F25"/>
    <w:rsid w:val="366E71DA"/>
    <w:rsid w:val="367334BD"/>
    <w:rsid w:val="3676EB34"/>
    <w:rsid w:val="367CF6CF"/>
    <w:rsid w:val="368502C6"/>
    <w:rsid w:val="369070F4"/>
    <w:rsid w:val="36930882"/>
    <w:rsid w:val="3694C8A4"/>
    <w:rsid w:val="36A01CFC"/>
    <w:rsid w:val="36A5615B"/>
    <w:rsid w:val="36A58BA6"/>
    <w:rsid w:val="36B1F41E"/>
    <w:rsid w:val="36C9CCE9"/>
    <w:rsid w:val="36D84187"/>
    <w:rsid w:val="36D8B002"/>
    <w:rsid w:val="36E16EA5"/>
    <w:rsid w:val="3704EC5F"/>
    <w:rsid w:val="37148BE4"/>
    <w:rsid w:val="371580FD"/>
    <w:rsid w:val="3715B229"/>
    <w:rsid w:val="371691FE"/>
    <w:rsid w:val="371F90A2"/>
    <w:rsid w:val="37352AFD"/>
    <w:rsid w:val="374FAAEB"/>
    <w:rsid w:val="37510EF1"/>
    <w:rsid w:val="37524FBF"/>
    <w:rsid w:val="3758A844"/>
    <w:rsid w:val="3761819D"/>
    <w:rsid w:val="376746F8"/>
    <w:rsid w:val="37681310"/>
    <w:rsid w:val="376D9052"/>
    <w:rsid w:val="377098CA"/>
    <w:rsid w:val="377369D1"/>
    <w:rsid w:val="378E48E6"/>
    <w:rsid w:val="378ECCAA"/>
    <w:rsid w:val="3797FF1F"/>
    <w:rsid w:val="379A2E2F"/>
    <w:rsid w:val="37AD732D"/>
    <w:rsid w:val="37B36892"/>
    <w:rsid w:val="37B9158A"/>
    <w:rsid w:val="37BDA865"/>
    <w:rsid w:val="37BF512C"/>
    <w:rsid w:val="37C56D56"/>
    <w:rsid w:val="37C669D1"/>
    <w:rsid w:val="37D0633C"/>
    <w:rsid w:val="37D2D82D"/>
    <w:rsid w:val="37DB543D"/>
    <w:rsid w:val="37DF53CA"/>
    <w:rsid w:val="37F2BCDA"/>
    <w:rsid w:val="380495BD"/>
    <w:rsid w:val="3805C947"/>
    <w:rsid w:val="38156DC2"/>
    <w:rsid w:val="381A2184"/>
    <w:rsid w:val="38235239"/>
    <w:rsid w:val="382C1B99"/>
    <w:rsid w:val="3830E56D"/>
    <w:rsid w:val="383ED204"/>
    <w:rsid w:val="384033C5"/>
    <w:rsid w:val="384FEBCD"/>
    <w:rsid w:val="385281C3"/>
    <w:rsid w:val="385902F0"/>
    <w:rsid w:val="3860FE38"/>
    <w:rsid w:val="3867F612"/>
    <w:rsid w:val="3868D959"/>
    <w:rsid w:val="38750D9C"/>
    <w:rsid w:val="387B1B26"/>
    <w:rsid w:val="388F577E"/>
    <w:rsid w:val="389DD2A1"/>
    <w:rsid w:val="38B0ACA6"/>
    <w:rsid w:val="38B20F97"/>
    <w:rsid w:val="38D36858"/>
    <w:rsid w:val="38E4B63B"/>
    <w:rsid w:val="38EF52D8"/>
    <w:rsid w:val="38F1A631"/>
    <w:rsid w:val="38FADA8B"/>
    <w:rsid w:val="3901F0D2"/>
    <w:rsid w:val="3902E15E"/>
    <w:rsid w:val="3902F10E"/>
    <w:rsid w:val="39153CAC"/>
    <w:rsid w:val="39181C2D"/>
    <w:rsid w:val="3920C063"/>
    <w:rsid w:val="3921E57F"/>
    <w:rsid w:val="392EF6ED"/>
    <w:rsid w:val="393C24B3"/>
    <w:rsid w:val="39595BCE"/>
    <w:rsid w:val="395B0FA2"/>
    <w:rsid w:val="39618FB9"/>
    <w:rsid w:val="3968F7CD"/>
    <w:rsid w:val="39738A49"/>
    <w:rsid w:val="39747C1C"/>
    <w:rsid w:val="3977249E"/>
    <w:rsid w:val="39802E67"/>
    <w:rsid w:val="3984D301"/>
    <w:rsid w:val="398937D4"/>
    <w:rsid w:val="398C10C5"/>
    <w:rsid w:val="399E4523"/>
    <w:rsid w:val="39B59F7E"/>
    <w:rsid w:val="39BF1EFB"/>
    <w:rsid w:val="39C854BE"/>
    <w:rsid w:val="39CCC607"/>
    <w:rsid w:val="39D77D24"/>
    <w:rsid w:val="39DB29A7"/>
    <w:rsid w:val="39E27653"/>
    <w:rsid w:val="39E3B716"/>
    <w:rsid w:val="39E3CD7A"/>
    <w:rsid w:val="39E70C91"/>
    <w:rsid w:val="39EA533B"/>
    <w:rsid w:val="39EA9896"/>
    <w:rsid w:val="39EB7A6D"/>
    <w:rsid w:val="39FB158A"/>
    <w:rsid w:val="3A0DB38C"/>
    <w:rsid w:val="3A115058"/>
    <w:rsid w:val="3A12C10B"/>
    <w:rsid w:val="3A172CD8"/>
    <w:rsid w:val="3A2015FE"/>
    <w:rsid w:val="3A20D7DE"/>
    <w:rsid w:val="3A2BFC99"/>
    <w:rsid w:val="3A34EC5A"/>
    <w:rsid w:val="3A4A50F9"/>
    <w:rsid w:val="3A4CE0AF"/>
    <w:rsid w:val="3A4D97F7"/>
    <w:rsid w:val="3A640A3B"/>
    <w:rsid w:val="3A6B7814"/>
    <w:rsid w:val="3A75BDB1"/>
    <w:rsid w:val="3A79137A"/>
    <w:rsid w:val="3A810686"/>
    <w:rsid w:val="3A81385C"/>
    <w:rsid w:val="3A8A0976"/>
    <w:rsid w:val="3A962C1D"/>
    <w:rsid w:val="3A98DE35"/>
    <w:rsid w:val="3AAE5C29"/>
    <w:rsid w:val="3AB30FA7"/>
    <w:rsid w:val="3ACA601D"/>
    <w:rsid w:val="3ACB105B"/>
    <w:rsid w:val="3ACD6D40"/>
    <w:rsid w:val="3AD58C9C"/>
    <w:rsid w:val="3ADF9B21"/>
    <w:rsid w:val="3AE7AC77"/>
    <w:rsid w:val="3AEEDB2B"/>
    <w:rsid w:val="3B04BC47"/>
    <w:rsid w:val="3B12F4FF"/>
    <w:rsid w:val="3B19CA3F"/>
    <w:rsid w:val="3B31B6FB"/>
    <w:rsid w:val="3B31CEA3"/>
    <w:rsid w:val="3B33B356"/>
    <w:rsid w:val="3B6881B8"/>
    <w:rsid w:val="3B6A7B61"/>
    <w:rsid w:val="3B6F2A23"/>
    <w:rsid w:val="3B8325A9"/>
    <w:rsid w:val="3B905536"/>
    <w:rsid w:val="3B974F25"/>
    <w:rsid w:val="3BB6C6F3"/>
    <w:rsid w:val="3BBE2CD2"/>
    <w:rsid w:val="3BC8F351"/>
    <w:rsid w:val="3BD1A15D"/>
    <w:rsid w:val="3BD6830D"/>
    <w:rsid w:val="3BDBD6EF"/>
    <w:rsid w:val="3BDDBFA0"/>
    <w:rsid w:val="3BE2EB5B"/>
    <w:rsid w:val="3BFBE751"/>
    <w:rsid w:val="3BFCA013"/>
    <w:rsid w:val="3BFE2F12"/>
    <w:rsid w:val="3C00BE58"/>
    <w:rsid w:val="3C00CD9E"/>
    <w:rsid w:val="3C0975F5"/>
    <w:rsid w:val="3C104E41"/>
    <w:rsid w:val="3C10FD88"/>
    <w:rsid w:val="3C1DEA94"/>
    <w:rsid w:val="3C1FCB44"/>
    <w:rsid w:val="3C276EDB"/>
    <w:rsid w:val="3C2B4F37"/>
    <w:rsid w:val="3C3E4697"/>
    <w:rsid w:val="3C3FC9B2"/>
    <w:rsid w:val="3C3FDA4F"/>
    <w:rsid w:val="3C539FA3"/>
    <w:rsid w:val="3C54C701"/>
    <w:rsid w:val="3C5F3D25"/>
    <w:rsid w:val="3C5FF3A1"/>
    <w:rsid w:val="3C734804"/>
    <w:rsid w:val="3C7D0CB7"/>
    <w:rsid w:val="3CA24F47"/>
    <w:rsid w:val="3CB3F474"/>
    <w:rsid w:val="3CB7B0DC"/>
    <w:rsid w:val="3CC59EEE"/>
    <w:rsid w:val="3CC5CFE7"/>
    <w:rsid w:val="3CC94DE4"/>
    <w:rsid w:val="3CD4E813"/>
    <w:rsid w:val="3CEB6970"/>
    <w:rsid w:val="3CF4C362"/>
    <w:rsid w:val="3CF5125A"/>
    <w:rsid w:val="3CFC089B"/>
    <w:rsid w:val="3D026A99"/>
    <w:rsid w:val="3D0F6AEA"/>
    <w:rsid w:val="3D1CB210"/>
    <w:rsid w:val="3D1F981A"/>
    <w:rsid w:val="3D1FAA99"/>
    <w:rsid w:val="3D4C45FB"/>
    <w:rsid w:val="3D4D5CBA"/>
    <w:rsid w:val="3D4E23AA"/>
    <w:rsid w:val="3D51D110"/>
    <w:rsid w:val="3D5D3774"/>
    <w:rsid w:val="3D6E24C7"/>
    <w:rsid w:val="3D7BFD6E"/>
    <w:rsid w:val="3D7E3315"/>
    <w:rsid w:val="3D837ABA"/>
    <w:rsid w:val="3D87ABC9"/>
    <w:rsid w:val="3D89ED10"/>
    <w:rsid w:val="3DAC0B16"/>
    <w:rsid w:val="3DB52351"/>
    <w:rsid w:val="3DB97711"/>
    <w:rsid w:val="3DC59E2E"/>
    <w:rsid w:val="3DCE65F6"/>
    <w:rsid w:val="3DCE708E"/>
    <w:rsid w:val="3DE16774"/>
    <w:rsid w:val="3DE39586"/>
    <w:rsid w:val="3DEB2A2C"/>
    <w:rsid w:val="3E0EC0F5"/>
    <w:rsid w:val="3E1700A2"/>
    <w:rsid w:val="3E2FB708"/>
    <w:rsid w:val="3E3071A1"/>
    <w:rsid w:val="3E3612C0"/>
    <w:rsid w:val="3E3C5A3B"/>
    <w:rsid w:val="3E651E45"/>
    <w:rsid w:val="3E69E3A2"/>
    <w:rsid w:val="3E6EF618"/>
    <w:rsid w:val="3E798FA9"/>
    <w:rsid w:val="3E7D05F7"/>
    <w:rsid w:val="3E86BF5B"/>
    <w:rsid w:val="3E95F098"/>
    <w:rsid w:val="3E9CFF69"/>
    <w:rsid w:val="3E9E7BE2"/>
    <w:rsid w:val="3EA49FD6"/>
    <w:rsid w:val="3EA71CA1"/>
    <w:rsid w:val="3EB84127"/>
    <w:rsid w:val="3EC00872"/>
    <w:rsid w:val="3EC200B0"/>
    <w:rsid w:val="3ED15E17"/>
    <w:rsid w:val="3ED86AA3"/>
    <w:rsid w:val="3ED9A953"/>
    <w:rsid w:val="3EE45F1D"/>
    <w:rsid w:val="3EE9D84B"/>
    <w:rsid w:val="3EF6585D"/>
    <w:rsid w:val="3EF95456"/>
    <w:rsid w:val="3EFE1CD9"/>
    <w:rsid w:val="3F036BCA"/>
    <w:rsid w:val="3F093F54"/>
    <w:rsid w:val="3F0EE942"/>
    <w:rsid w:val="3F0FB290"/>
    <w:rsid w:val="3F192DB8"/>
    <w:rsid w:val="3F1AE1C8"/>
    <w:rsid w:val="3F2A303C"/>
    <w:rsid w:val="3F349963"/>
    <w:rsid w:val="3F3707D2"/>
    <w:rsid w:val="3F3A7FF3"/>
    <w:rsid w:val="3F41D427"/>
    <w:rsid w:val="3F4B8E04"/>
    <w:rsid w:val="3F4ED853"/>
    <w:rsid w:val="3F54310B"/>
    <w:rsid w:val="3F5F2B16"/>
    <w:rsid w:val="3F6A3657"/>
    <w:rsid w:val="3F6FB11B"/>
    <w:rsid w:val="3F700366"/>
    <w:rsid w:val="3F7C5D8D"/>
    <w:rsid w:val="3F81657B"/>
    <w:rsid w:val="3F821714"/>
    <w:rsid w:val="3F823A5C"/>
    <w:rsid w:val="3FADB5A9"/>
    <w:rsid w:val="3FCD3DC5"/>
    <w:rsid w:val="3FD01D13"/>
    <w:rsid w:val="3FF29F6A"/>
    <w:rsid w:val="3FF8000B"/>
    <w:rsid w:val="3FFCD931"/>
    <w:rsid w:val="400D5959"/>
    <w:rsid w:val="40149612"/>
    <w:rsid w:val="40274C8D"/>
    <w:rsid w:val="402EC34E"/>
    <w:rsid w:val="403CA2DC"/>
    <w:rsid w:val="403E25A4"/>
    <w:rsid w:val="404773E8"/>
    <w:rsid w:val="404C4E39"/>
    <w:rsid w:val="40517420"/>
    <w:rsid w:val="40605675"/>
    <w:rsid w:val="40717043"/>
    <w:rsid w:val="40723135"/>
    <w:rsid w:val="4072BBD9"/>
    <w:rsid w:val="407852C6"/>
    <w:rsid w:val="40A1C149"/>
    <w:rsid w:val="40B10214"/>
    <w:rsid w:val="40B2BF7D"/>
    <w:rsid w:val="40B3562F"/>
    <w:rsid w:val="40B8271F"/>
    <w:rsid w:val="40C6325F"/>
    <w:rsid w:val="40D76D13"/>
    <w:rsid w:val="40DDC725"/>
    <w:rsid w:val="40E511A0"/>
    <w:rsid w:val="40EBA0B6"/>
    <w:rsid w:val="40EC3C4B"/>
    <w:rsid w:val="40F839A4"/>
    <w:rsid w:val="4103D111"/>
    <w:rsid w:val="4107DBD5"/>
    <w:rsid w:val="412B5B06"/>
    <w:rsid w:val="4131660B"/>
    <w:rsid w:val="413907D8"/>
    <w:rsid w:val="413CC8A0"/>
    <w:rsid w:val="413E425B"/>
    <w:rsid w:val="4143C199"/>
    <w:rsid w:val="41615F82"/>
    <w:rsid w:val="418552CE"/>
    <w:rsid w:val="41895B66"/>
    <w:rsid w:val="41B6BA51"/>
    <w:rsid w:val="41C35F1C"/>
    <w:rsid w:val="41C7D3FB"/>
    <w:rsid w:val="41D6A482"/>
    <w:rsid w:val="41F467BE"/>
    <w:rsid w:val="41F9BDC3"/>
    <w:rsid w:val="41FE21F8"/>
    <w:rsid w:val="41FEE76D"/>
    <w:rsid w:val="4212B1CC"/>
    <w:rsid w:val="422B7577"/>
    <w:rsid w:val="422F8E6F"/>
    <w:rsid w:val="42426F15"/>
    <w:rsid w:val="4256821E"/>
    <w:rsid w:val="426042EA"/>
    <w:rsid w:val="42633677"/>
    <w:rsid w:val="426DB23D"/>
    <w:rsid w:val="427845DA"/>
    <w:rsid w:val="4281AF9B"/>
    <w:rsid w:val="428B6B3F"/>
    <w:rsid w:val="42931B69"/>
    <w:rsid w:val="42B95E74"/>
    <w:rsid w:val="42C0297A"/>
    <w:rsid w:val="42C55F11"/>
    <w:rsid w:val="42CF76AB"/>
    <w:rsid w:val="42D81ECA"/>
    <w:rsid w:val="42D89226"/>
    <w:rsid w:val="42DA48DE"/>
    <w:rsid w:val="42DAC24D"/>
    <w:rsid w:val="42DB1C90"/>
    <w:rsid w:val="42EB9EF8"/>
    <w:rsid w:val="42ED6E71"/>
    <w:rsid w:val="42ED941F"/>
    <w:rsid w:val="42F6FDD4"/>
    <w:rsid w:val="43092A0D"/>
    <w:rsid w:val="4313297A"/>
    <w:rsid w:val="431BCE2D"/>
    <w:rsid w:val="4323CCD9"/>
    <w:rsid w:val="4336D6D8"/>
    <w:rsid w:val="434057F5"/>
    <w:rsid w:val="4342F243"/>
    <w:rsid w:val="43470C3B"/>
    <w:rsid w:val="434B87CE"/>
    <w:rsid w:val="434F2969"/>
    <w:rsid w:val="4351E985"/>
    <w:rsid w:val="4354D102"/>
    <w:rsid w:val="435D61A1"/>
    <w:rsid w:val="4363181B"/>
    <w:rsid w:val="43687279"/>
    <w:rsid w:val="437EB446"/>
    <w:rsid w:val="438585BC"/>
    <w:rsid w:val="438820D7"/>
    <w:rsid w:val="4391A127"/>
    <w:rsid w:val="439B4E76"/>
    <w:rsid w:val="43A2B196"/>
    <w:rsid w:val="43A776F3"/>
    <w:rsid w:val="43B1CBF6"/>
    <w:rsid w:val="43B4343D"/>
    <w:rsid w:val="43B7D2A5"/>
    <w:rsid w:val="43BDD059"/>
    <w:rsid w:val="43C62313"/>
    <w:rsid w:val="43D5C686"/>
    <w:rsid w:val="43D88D2A"/>
    <w:rsid w:val="43EC2C5C"/>
    <w:rsid w:val="43F1A796"/>
    <w:rsid w:val="440A98C7"/>
    <w:rsid w:val="440C0A01"/>
    <w:rsid w:val="440D99A2"/>
    <w:rsid w:val="440DEA9B"/>
    <w:rsid w:val="440E4C18"/>
    <w:rsid w:val="4419C72D"/>
    <w:rsid w:val="441CB1FD"/>
    <w:rsid w:val="4421D287"/>
    <w:rsid w:val="4429DCED"/>
    <w:rsid w:val="444EA56A"/>
    <w:rsid w:val="44536938"/>
    <w:rsid w:val="44736F97"/>
    <w:rsid w:val="44766914"/>
    <w:rsid w:val="4477583B"/>
    <w:rsid w:val="4480B0C3"/>
    <w:rsid w:val="44868E3E"/>
    <w:rsid w:val="448D5D2B"/>
    <w:rsid w:val="448F967D"/>
    <w:rsid w:val="44B0D2EE"/>
    <w:rsid w:val="44C900B9"/>
    <w:rsid w:val="44CE234C"/>
    <w:rsid w:val="44D44D01"/>
    <w:rsid w:val="44E58DAA"/>
    <w:rsid w:val="44E98DD6"/>
    <w:rsid w:val="44F81686"/>
    <w:rsid w:val="44FA6406"/>
    <w:rsid w:val="44FEBA24"/>
    <w:rsid w:val="4508D8D3"/>
    <w:rsid w:val="4511EC46"/>
    <w:rsid w:val="4517046B"/>
    <w:rsid w:val="453B7DEA"/>
    <w:rsid w:val="4547F4AC"/>
    <w:rsid w:val="4549C369"/>
    <w:rsid w:val="4566E7D5"/>
    <w:rsid w:val="4568AD42"/>
    <w:rsid w:val="45738F89"/>
    <w:rsid w:val="45749BDB"/>
    <w:rsid w:val="458B0FB0"/>
    <w:rsid w:val="45906A14"/>
    <w:rsid w:val="45A03BCD"/>
    <w:rsid w:val="45AD1416"/>
    <w:rsid w:val="45B5BD12"/>
    <w:rsid w:val="45BEA531"/>
    <w:rsid w:val="45C62144"/>
    <w:rsid w:val="45D77E8E"/>
    <w:rsid w:val="45FA59F2"/>
    <w:rsid w:val="45FEBAA8"/>
    <w:rsid w:val="4613A1D3"/>
    <w:rsid w:val="4617A442"/>
    <w:rsid w:val="46214264"/>
    <w:rsid w:val="464AE598"/>
    <w:rsid w:val="464AFBD2"/>
    <w:rsid w:val="464EE093"/>
    <w:rsid w:val="46571AA7"/>
    <w:rsid w:val="466A88F6"/>
    <w:rsid w:val="4670D752"/>
    <w:rsid w:val="46725072"/>
    <w:rsid w:val="467C0365"/>
    <w:rsid w:val="468B014E"/>
    <w:rsid w:val="4693D37F"/>
    <w:rsid w:val="469BACA8"/>
    <w:rsid w:val="46B3AC2C"/>
    <w:rsid w:val="46B64D30"/>
    <w:rsid w:val="46C63ECC"/>
    <w:rsid w:val="46E8882A"/>
    <w:rsid w:val="46EA857D"/>
    <w:rsid w:val="46EFE68D"/>
    <w:rsid w:val="46FC56E4"/>
    <w:rsid w:val="470224DB"/>
    <w:rsid w:val="4704B365"/>
    <w:rsid w:val="47078926"/>
    <w:rsid w:val="470B63AC"/>
    <w:rsid w:val="470D8190"/>
    <w:rsid w:val="471F5B55"/>
    <w:rsid w:val="472DF525"/>
    <w:rsid w:val="4731494F"/>
    <w:rsid w:val="4748596F"/>
    <w:rsid w:val="47515307"/>
    <w:rsid w:val="4758B72B"/>
    <w:rsid w:val="4761D7BE"/>
    <w:rsid w:val="476915A3"/>
    <w:rsid w:val="476FF5FF"/>
    <w:rsid w:val="47760279"/>
    <w:rsid w:val="4777DA1C"/>
    <w:rsid w:val="47848EDC"/>
    <w:rsid w:val="4786A829"/>
    <w:rsid w:val="478D428D"/>
    <w:rsid w:val="47A6B207"/>
    <w:rsid w:val="47CA27F4"/>
    <w:rsid w:val="47D1185D"/>
    <w:rsid w:val="47D84FAA"/>
    <w:rsid w:val="47E106D7"/>
    <w:rsid w:val="47E37197"/>
    <w:rsid w:val="47EA7A06"/>
    <w:rsid w:val="47EEDD1A"/>
    <w:rsid w:val="47FF1C94"/>
    <w:rsid w:val="48031C11"/>
    <w:rsid w:val="4804EA1C"/>
    <w:rsid w:val="4805F3B5"/>
    <w:rsid w:val="480970D5"/>
    <w:rsid w:val="48278163"/>
    <w:rsid w:val="482A53D3"/>
    <w:rsid w:val="4831642D"/>
    <w:rsid w:val="4835E1C1"/>
    <w:rsid w:val="483954CB"/>
    <w:rsid w:val="483E8DB3"/>
    <w:rsid w:val="483EA7FB"/>
    <w:rsid w:val="4840F544"/>
    <w:rsid w:val="48568063"/>
    <w:rsid w:val="485F256B"/>
    <w:rsid w:val="4863C7A7"/>
    <w:rsid w:val="4863FDD0"/>
    <w:rsid w:val="486DFD50"/>
    <w:rsid w:val="4881124E"/>
    <w:rsid w:val="48866435"/>
    <w:rsid w:val="488FAAA5"/>
    <w:rsid w:val="4892B1DC"/>
    <w:rsid w:val="4898D9ED"/>
    <w:rsid w:val="489A90A5"/>
    <w:rsid w:val="48A3F19C"/>
    <w:rsid w:val="48A9BEA4"/>
    <w:rsid w:val="48B2AA14"/>
    <w:rsid w:val="48BA5AFA"/>
    <w:rsid w:val="48DC0BCE"/>
    <w:rsid w:val="48DD51ED"/>
    <w:rsid w:val="48ECA0D4"/>
    <w:rsid w:val="49093E97"/>
    <w:rsid w:val="490D340A"/>
    <w:rsid w:val="494053E3"/>
    <w:rsid w:val="49660F03"/>
    <w:rsid w:val="496B7848"/>
    <w:rsid w:val="496EE355"/>
    <w:rsid w:val="49800901"/>
    <w:rsid w:val="49926103"/>
    <w:rsid w:val="499BACA8"/>
    <w:rsid w:val="49A9EF05"/>
    <w:rsid w:val="49C2B83B"/>
    <w:rsid w:val="49C37811"/>
    <w:rsid w:val="49C4E767"/>
    <w:rsid w:val="49C6FC6F"/>
    <w:rsid w:val="49D5252C"/>
    <w:rsid w:val="49DC8573"/>
    <w:rsid w:val="49DCE0D4"/>
    <w:rsid w:val="49E5493F"/>
    <w:rsid w:val="49E6CAB5"/>
    <w:rsid w:val="49EBB305"/>
    <w:rsid w:val="49EC4142"/>
    <w:rsid w:val="49FD53AC"/>
    <w:rsid w:val="4A024047"/>
    <w:rsid w:val="4A0946DE"/>
    <w:rsid w:val="4A1D4859"/>
    <w:rsid w:val="4A27840F"/>
    <w:rsid w:val="4A2FB12D"/>
    <w:rsid w:val="4A59BC13"/>
    <w:rsid w:val="4A5C86FC"/>
    <w:rsid w:val="4A6BF7C3"/>
    <w:rsid w:val="4A6C231E"/>
    <w:rsid w:val="4A7895F1"/>
    <w:rsid w:val="4A7C7071"/>
    <w:rsid w:val="4A877188"/>
    <w:rsid w:val="4A8C4407"/>
    <w:rsid w:val="4A918AFA"/>
    <w:rsid w:val="4A982481"/>
    <w:rsid w:val="4AA090C3"/>
    <w:rsid w:val="4AB859F0"/>
    <w:rsid w:val="4AB9E93D"/>
    <w:rsid w:val="4AC4DD53"/>
    <w:rsid w:val="4AC5C1E4"/>
    <w:rsid w:val="4AC8FA15"/>
    <w:rsid w:val="4ACBB85D"/>
    <w:rsid w:val="4ADD407F"/>
    <w:rsid w:val="4B0689F3"/>
    <w:rsid w:val="4B0C4401"/>
    <w:rsid w:val="4B10F4A9"/>
    <w:rsid w:val="4B1792F4"/>
    <w:rsid w:val="4B181ABC"/>
    <w:rsid w:val="4B1BAE08"/>
    <w:rsid w:val="4B1D3A28"/>
    <w:rsid w:val="4B2335BC"/>
    <w:rsid w:val="4B23F98B"/>
    <w:rsid w:val="4B337245"/>
    <w:rsid w:val="4B3BBF5A"/>
    <w:rsid w:val="4B3C1090"/>
    <w:rsid w:val="4B3FB269"/>
    <w:rsid w:val="4B465EB9"/>
    <w:rsid w:val="4B559D5C"/>
    <w:rsid w:val="4B709D3C"/>
    <w:rsid w:val="4B7153B9"/>
    <w:rsid w:val="4B8530A8"/>
    <w:rsid w:val="4B862E56"/>
    <w:rsid w:val="4B95D71C"/>
    <w:rsid w:val="4B980FD2"/>
    <w:rsid w:val="4BBB0143"/>
    <w:rsid w:val="4BBB727D"/>
    <w:rsid w:val="4BCF4BBF"/>
    <w:rsid w:val="4BD1A99F"/>
    <w:rsid w:val="4BF8A14C"/>
    <w:rsid w:val="4BFBED43"/>
    <w:rsid w:val="4C0598F9"/>
    <w:rsid w:val="4C0D886A"/>
    <w:rsid w:val="4C191020"/>
    <w:rsid w:val="4C24E708"/>
    <w:rsid w:val="4C38F16F"/>
    <w:rsid w:val="4C4AC14D"/>
    <w:rsid w:val="4C4FA9CB"/>
    <w:rsid w:val="4C4FDC9C"/>
    <w:rsid w:val="4C53A353"/>
    <w:rsid w:val="4C7064A4"/>
    <w:rsid w:val="4C87ED8F"/>
    <w:rsid w:val="4C8F067C"/>
    <w:rsid w:val="4C9335F2"/>
    <w:rsid w:val="4C96106E"/>
    <w:rsid w:val="4C96E3F6"/>
    <w:rsid w:val="4C9B2FA9"/>
    <w:rsid w:val="4CA49A40"/>
    <w:rsid w:val="4CAD319F"/>
    <w:rsid w:val="4CB23882"/>
    <w:rsid w:val="4CB24CEE"/>
    <w:rsid w:val="4CBB9F57"/>
    <w:rsid w:val="4CBBAEEC"/>
    <w:rsid w:val="4CBFE367"/>
    <w:rsid w:val="4CCBF857"/>
    <w:rsid w:val="4CCC7E47"/>
    <w:rsid w:val="4CD6C3D7"/>
    <w:rsid w:val="4CD93D9A"/>
    <w:rsid w:val="4CDF6003"/>
    <w:rsid w:val="4CEC0C08"/>
    <w:rsid w:val="4CEC59A7"/>
    <w:rsid w:val="4CED605E"/>
    <w:rsid w:val="4CEE3748"/>
    <w:rsid w:val="4CF0931F"/>
    <w:rsid w:val="4CF90CB2"/>
    <w:rsid w:val="4CF960FB"/>
    <w:rsid w:val="4D1764E5"/>
    <w:rsid w:val="4D1DA69E"/>
    <w:rsid w:val="4D3339C6"/>
    <w:rsid w:val="4D36932E"/>
    <w:rsid w:val="4D3912A3"/>
    <w:rsid w:val="4D3A7464"/>
    <w:rsid w:val="4D407861"/>
    <w:rsid w:val="4D5519FE"/>
    <w:rsid w:val="4D5968D5"/>
    <w:rsid w:val="4D6387CC"/>
    <w:rsid w:val="4D718A1F"/>
    <w:rsid w:val="4D75089E"/>
    <w:rsid w:val="4D8ABC75"/>
    <w:rsid w:val="4D97E7CC"/>
    <w:rsid w:val="4D9F8A68"/>
    <w:rsid w:val="4DB1D789"/>
    <w:rsid w:val="4DB8AF9B"/>
    <w:rsid w:val="4DCBBCA3"/>
    <w:rsid w:val="4DD3DACE"/>
    <w:rsid w:val="4DE25241"/>
    <w:rsid w:val="4DF0B3E0"/>
    <w:rsid w:val="4E0911F4"/>
    <w:rsid w:val="4E215F7B"/>
    <w:rsid w:val="4E22EB52"/>
    <w:rsid w:val="4E275CF4"/>
    <w:rsid w:val="4E27FEFB"/>
    <w:rsid w:val="4E36C2A1"/>
    <w:rsid w:val="4E3DB17A"/>
    <w:rsid w:val="4E4C36EA"/>
    <w:rsid w:val="4E5C4B40"/>
    <w:rsid w:val="4E5CD54D"/>
    <w:rsid w:val="4E5D6CBB"/>
    <w:rsid w:val="4E615EE1"/>
    <w:rsid w:val="4E624FC3"/>
    <w:rsid w:val="4E6D48E9"/>
    <w:rsid w:val="4E6DA5D3"/>
    <w:rsid w:val="4E7429F8"/>
    <w:rsid w:val="4E853D03"/>
    <w:rsid w:val="4EA62015"/>
    <w:rsid w:val="4EB997DA"/>
    <w:rsid w:val="4EB9C781"/>
    <w:rsid w:val="4ED9F57A"/>
    <w:rsid w:val="4EDC0B59"/>
    <w:rsid w:val="4EDF0BDF"/>
    <w:rsid w:val="4EE933F6"/>
    <w:rsid w:val="4EF13D27"/>
    <w:rsid w:val="4F08275F"/>
    <w:rsid w:val="4F09E854"/>
    <w:rsid w:val="4F0B12C8"/>
    <w:rsid w:val="4F16C858"/>
    <w:rsid w:val="4F1D5257"/>
    <w:rsid w:val="4F209878"/>
    <w:rsid w:val="4F282E09"/>
    <w:rsid w:val="4F2A42CC"/>
    <w:rsid w:val="4F2A4B7C"/>
    <w:rsid w:val="4F37E1F5"/>
    <w:rsid w:val="4F3BAB33"/>
    <w:rsid w:val="4F452C50"/>
    <w:rsid w:val="4F47B240"/>
    <w:rsid w:val="4F6C2F75"/>
    <w:rsid w:val="4F75FE34"/>
    <w:rsid w:val="4F7BA9F4"/>
    <w:rsid w:val="4F927D0A"/>
    <w:rsid w:val="4F950228"/>
    <w:rsid w:val="4F966A05"/>
    <w:rsid w:val="4FA1CA02"/>
    <w:rsid w:val="4FA2CBB2"/>
    <w:rsid w:val="4FA39414"/>
    <w:rsid w:val="4FAC5EAE"/>
    <w:rsid w:val="4FB5A9D0"/>
    <w:rsid w:val="4FBB91AD"/>
    <w:rsid w:val="4FCFBAC9"/>
    <w:rsid w:val="4FE5B1DA"/>
    <w:rsid w:val="50171270"/>
    <w:rsid w:val="501FAC9E"/>
    <w:rsid w:val="50278A18"/>
    <w:rsid w:val="504DAB57"/>
    <w:rsid w:val="5057FB59"/>
    <w:rsid w:val="5062C7F5"/>
    <w:rsid w:val="506DE4B8"/>
    <w:rsid w:val="507D8090"/>
    <w:rsid w:val="508328BF"/>
    <w:rsid w:val="5092C61F"/>
    <w:rsid w:val="509CE009"/>
    <w:rsid w:val="50A5657A"/>
    <w:rsid w:val="50BDDDF0"/>
    <w:rsid w:val="50BE1D9B"/>
    <w:rsid w:val="50CAE881"/>
    <w:rsid w:val="50D1388A"/>
    <w:rsid w:val="50D19102"/>
    <w:rsid w:val="50D9D93B"/>
    <w:rsid w:val="50E45CD4"/>
    <w:rsid w:val="50F39D66"/>
    <w:rsid w:val="50F7D2B6"/>
    <w:rsid w:val="50F9489D"/>
    <w:rsid w:val="5117DFF7"/>
    <w:rsid w:val="51234BE7"/>
    <w:rsid w:val="5139C24A"/>
    <w:rsid w:val="5151DED8"/>
    <w:rsid w:val="515B5410"/>
    <w:rsid w:val="51643FED"/>
    <w:rsid w:val="5170D861"/>
    <w:rsid w:val="5176FED8"/>
    <w:rsid w:val="5188FE42"/>
    <w:rsid w:val="518DFBD2"/>
    <w:rsid w:val="519D5FB4"/>
    <w:rsid w:val="51A8B5D8"/>
    <w:rsid w:val="51AAAAEC"/>
    <w:rsid w:val="51B6D7E7"/>
    <w:rsid w:val="51BE0FF5"/>
    <w:rsid w:val="51C0EFCE"/>
    <w:rsid w:val="51C543BF"/>
    <w:rsid w:val="51D83FE6"/>
    <w:rsid w:val="51DB6714"/>
    <w:rsid w:val="51E3549A"/>
    <w:rsid w:val="52006517"/>
    <w:rsid w:val="5200BE3F"/>
    <w:rsid w:val="520A432B"/>
    <w:rsid w:val="520E5880"/>
    <w:rsid w:val="522C1134"/>
    <w:rsid w:val="523AB550"/>
    <w:rsid w:val="52483181"/>
    <w:rsid w:val="524C8E1A"/>
    <w:rsid w:val="5255C7FA"/>
    <w:rsid w:val="5256B981"/>
    <w:rsid w:val="5265DC95"/>
    <w:rsid w:val="526CB8B2"/>
    <w:rsid w:val="52732120"/>
    <w:rsid w:val="5274FF5C"/>
    <w:rsid w:val="528CEB07"/>
    <w:rsid w:val="52903715"/>
    <w:rsid w:val="5296B12D"/>
    <w:rsid w:val="529DA6C0"/>
    <w:rsid w:val="52A9B85E"/>
    <w:rsid w:val="52AEC2EF"/>
    <w:rsid w:val="52B4D6B3"/>
    <w:rsid w:val="52B8057B"/>
    <w:rsid w:val="52C0CBFF"/>
    <w:rsid w:val="52C3B1A7"/>
    <w:rsid w:val="52C946A1"/>
    <w:rsid w:val="52CF2A07"/>
    <w:rsid w:val="52E9FB2B"/>
    <w:rsid w:val="52EFB727"/>
    <w:rsid w:val="530A2F5D"/>
    <w:rsid w:val="531AFF8A"/>
    <w:rsid w:val="5328E385"/>
    <w:rsid w:val="532D32ED"/>
    <w:rsid w:val="532EE79A"/>
    <w:rsid w:val="534D88B4"/>
    <w:rsid w:val="53624B8D"/>
    <w:rsid w:val="536D8482"/>
    <w:rsid w:val="5370ABB0"/>
    <w:rsid w:val="5372C5DA"/>
    <w:rsid w:val="53793F35"/>
    <w:rsid w:val="53819DB4"/>
    <w:rsid w:val="53821DC5"/>
    <w:rsid w:val="538E8CFA"/>
    <w:rsid w:val="538EF078"/>
    <w:rsid w:val="53917A99"/>
    <w:rsid w:val="5397993A"/>
    <w:rsid w:val="5397D405"/>
    <w:rsid w:val="53A37641"/>
    <w:rsid w:val="53ACF457"/>
    <w:rsid w:val="53B24E25"/>
    <w:rsid w:val="53B3546F"/>
    <w:rsid w:val="53B485BD"/>
    <w:rsid w:val="53B7F4A9"/>
    <w:rsid w:val="53C3879C"/>
    <w:rsid w:val="53C769F8"/>
    <w:rsid w:val="53DEA099"/>
    <w:rsid w:val="53DF3B8A"/>
    <w:rsid w:val="53E4180D"/>
    <w:rsid w:val="53F70BE1"/>
    <w:rsid w:val="54038562"/>
    <w:rsid w:val="54058431"/>
    <w:rsid w:val="540D9AA3"/>
    <w:rsid w:val="5412FACC"/>
    <w:rsid w:val="5419BBB6"/>
    <w:rsid w:val="54226104"/>
    <w:rsid w:val="542EADDD"/>
    <w:rsid w:val="543F3555"/>
    <w:rsid w:val="546E6A92"/>
    <w:rsid w:val="54737081"/>
    <w:rsid w:val="54805CC6"/>
    <w:rsid w:val="5483FA73"/>
    <w:rsid w:val="5488F2BA"/>
    <w:rsid w:val="54985610"/>
    <w:rsid w:val="54B38971"/>
    <w:rsid w:val="54B461DE"/>
    <w:rsid w:val="54B5748D"/>
    <w:rsid w:val="54C2A4D9"/>
    <w:rsid w:val="5500027A"/>
    <w:rsid w:val="550A51FD"/>
    <w:rsid w:val="550C385B"/>
    <w:rsid w:val="552A42B6"/>
    <w:rsid w:val="55340F9C"/>
    <w:rsid w:val="553EE1FB"/>
    <w:rsid w:val="553F8148"/>
    <w:rsid w:val="553F92A5"/>
    <w:rsid w:val="5546FF7F"/>
    <w:rsid w:val="5548EAE0"/>
    <w:rsid w:val="554ACA95"/>
    <w:rsid w:val="5564502B"/>
    <w:rsid w:val="55645BB6"/>
    <w:rsid w:val="556C1F2E"/>
    <w:rsid w:val="557A8006"/>
    <w:rsid w:val="557DC17C"/>
    <w:rsid w:val="559E7B91"/>
    <w:rsid w:val="55A26239"/>
    <w:rsid w:val="55A7B059"/>
    <w:rsid w:val="55A87F40"/>
    <w:rsid w:val="55AA9E1A"/>
    <w:rsid w:val="55B94DFF"/>
    <w:rsid w:val="55BA0A2E"/>
    <w:rsid w:val="55CD2826"/>
    <w:rsid w:val="55D0E2C5"/>
    <w:rsid w:val="560B2EA9"/>
    <w:rsid w:val="56158D25"/>
    <w:rsid w:val="5619C108"/>
    <w:rsid w:val="5633FC4C"/>
    <w:rsid w:val="56397F2F"/>
    <w:rsid w:val="56409BFA"/>
    <w:rsid w:val="5645EA54"/>
    <w:rsid w:val="564716A3"/>
    <w:rsid w:val="56508638"/>
    <w:rsid w:val="5654F888"/>
    <w:rsid w:val="565CDFE9"/>
    <w:rsid w:val="565E9026"/>
    <w:rsid w:val="5662E46C"/>
    <w:rsid w:val="56646963"/>
    <w:rsid w:val="56655C7E"/>
    <w:rsid w:val="5670D0D7"/>
    <w:rsid w:val="567F0205"/>
    <w:rsid w:val="5680FB4E"/>
    <w:rsid w:val="5687D62B"/>
    <w:rsid w:val="56898D36"/>
    <w:rsid w:val="568AF735"/>
    <w:rsid w:val="56926D68"/>
    <w:rsid w:val="5693EF85"/>
    <w:rsid w:val="569A7FD7"/>
    <w:rsid w:val="569C865E"/>
    <w:rsid w:val="56A06A7F"/>
    <w:rsid w:val="56A32D06"/>
    <w:rsid w:val="56ACB4DB"/>
    <w:rsid w:val="56B1512D"/>
    <w:rsid w:val="56C4A1AC"/>
    <w:rsid w:val="56C79BED"/>
    <w:rsid w:val="56CED1F4"/>
    <w:rsid w:val="56D51664"/>
    <w:rsid w:val="56D8F10C"/>
    <w:rsid w:val="570DA42B"/>
    <w:rsid w:val="570DBECB"/>
    <w:rsid w:val="571209F9"/>
    <w:rsid w:val="571E4A39"/>
    <w:rsid w:val="571F552A"/>
    <w:rsid w:val="57216653"/>
    <w:rsid w:val="57217EBC"/>
    <w:rsid w:val="5723C52A"/>
    <w:rsid w:val="572AE76C"/>
    <w:rsid w:val="572DDF4B"/>
    <w:rsid w:val="572FC4E2"/>
    <w:rsid w:val="573E9DBC"/>
    <w:rsid w:val="573F84AB"/>
    <w:rsid w:val="574054D4"/>
    <w:rsid w:val="5744CAFC"/>
    <w:rsid w:val="5762FCF3"/>
    <w:rsid w:val="576B4F20"/>
    <w:rsid w:val="57723C3B"/>
    <w:rsid w:val="5773FDA1"/>
    <w:rsid w:val="577A16E7"/>
    <w:rsid w:val="577D7F9B"/>
    <w:rsid w:val="577FFE3E"/>
    <w:rsid w:val="578B50B1"/>
    <w:rsid w:val="578B8AF1"/>
    <w:rsid w:val="57B86251"/>
    <w:rsid w:val="57B95279"/>
    <w:rsid w:val="57C5AA9A"/>
    <w:rsid w:val="57CCDE92"/>
    <w:rsid w:val="57D80521"/>
    <w:rsid w:val="57DE3935"/>
    <w:rsid w:val="57F4A586"/>
    <w:rsid w:val="57F6B191"/>
    <w:rsid w:val="57FAC048"/>
    <w:rsid w:val="5801645B"/>
    <w:rsid w:val="58120F95"/>
    <w:rsid w:val="581DDECC"/>
    <w:rsid w:val="58253842"/>
    <w:rsid w:val="58278CBD"/>
    <w:rsid w:val="583A380A"/>
    <w:rsid w:val="5842CBBD"/>
    <w:rsid w:val="5844CE93"/>
    <w:rsid w:val="58502C61"/>
    <w:rsid w:val="585B3390"/>
    <w:rsid w:val="586CB739"/>
    <w:rsid w:val="586CD104"/>
    <w:rsid w:val="586F9A39"/>
    <w:rsid w:val="587867FA"/>
    <w:rsid w:val="587A955D"/>
    <w:rsid w:val="587DD8CB"/>
    <w:rsid w:val="5880F3F1"/>
    <w:rsid w:val="58874E89"/>
    <w:rsid w:val="588A1B74"/>
    <w:rsid w:val="5896D31F"/>
    <w:rsid w:val="58A0A01F"/>
    <w:rsid w:val="58B1335E"/>
    <w:rsid w:val="58D0C91B"/>
    <w:rsid w:val="58DA2308"/>
    <w:rsid w:val="58E457FE"/>
    <w:rsid w:val="58E45DB8"/>
    <w:rsid w:val="58E83257"/>
    <w:rsid w:val="58F52E2E"/>
    <w:rsid w:val="58F85200"/>
    <w:rsid w:val="58F955C9"/>
    <w:rsid w:val="590B4A15"/>
    <w:rsid w:val="590C71BE"/>
    <w:rsid w:val="59208440"/>
    <w:rsid w:val="5929CC1D"/>
    <w:rsid w:val="593388AD"/>
    <w:rsid w:val="593DF53E"/>
    <w:rsid w:val="594B513F"/>
    <w:rsid w:val="595A3075"/>
    <w:rsid w:val="597023D2"/>
    <w:rsid w:val="597AAFBF"/>
    <w:rsid w:val="5997DAAA"/>
    <w:rsid w:val="59B53EED"/>
    <w:rsid w:val="59B97B77"/>
    <w:rsid w:val="59BB2EE9"/>
    <w:rsid w:val="59D097B0"/>
    <w:rsid w:val="59D0F7B4"/>
    <w:rsid w:val="59D18D11"/>
    <w:rsid w:val="59DD9AE7"/>
    <w:rsid w:val="59DE7D63"/>
    <w:rsid w:val="59EA477C"/>
    <w:rsid w:val="59F074E8"/>
    <w:rsid w:val="59FB86C9"/>
    <w:rsid w:val="59FFBB9E"/>
    <w:rsid w:val="5A0EC749"/>
    <w:rsid w:val="5A10F2B7"/>
    <w:rsid w:val="5A1A11F0"/>
    <w:rsid w:val="5A2977AA"/>
    <w:rsid w:val="5A2DB9BB"/>
    <w:rsid w:val="5A2E2E52"/>
    <w:rsid w:val="5A48C2E8"/>
    <w:rsid w:val="5A495985"/>
    <w:rsid w:val="5A4C682A"/>
    <w:rsid w:val="5A4CD9D7"/>
    <w:rsid w:val="5A4E6239"/>
    <w:rsid w:val="5A541255"/>
    <w:rsid w:val="5A689937"/>
    <w:rsid w:val="5A6BD053"/>
    <w:rsid w:val="5A735A57"/>
    <w:rsid w:val="5A95792D"/>
    <w:rsid w:val="5A9619DE"/>
    <w:rsid w:val="5A974065"/>
    <w:rsid w:val="5AA1F739"/>
    <w:rsid w:val="5AA745FE"/>
    <w:rsid w:val="5AB2A6D2"/>
    <w:rsid w:val="5AB67680"/>
    <w:rsid w:val="5AC6989D"/>
    <w:rsid w:val="5AD84E46"/>
    <w:rsid w:val="5AE2D714"/>
    <w:rsid w:val="5AE46A25"/>
    <w:rsid w:val="5AEB8674"/>
    <w:rsid w:val="5AF1F175"/>
    <w:rsid w:val="5AFCB4C4"/>
    <w:rsid w:val="5B129623"/>
    <w:rsid w:val="5B175412"/>
    <w:rsid w:val="5B20404D"/>
    <w:rsid w:val="5B324E62"/>
    <w:rsid w:val="5B36F245"/>
    <w:rsid w:val="5B3C229E"/>
    <w:rsid w:val="5B4A3D5C"/>
    <w:rsid w:val="5B59A520"/>
    <w:rsid w:val="5B5F32AE"/>
    <w:rsid w:val="5B619A14"/>
    <w:rsid w:val="5B653C14"/>
    <w:rsid w:val="5B7560BF"/>
    <w:rsid w:val="5B78E380"/>
    <w:rsid w:val="5B859B40"/>
    <w:rsid w:val="5B87C907"/>
    <w:rsid w:val="5B9A6064"/>
    <w:rsid w:val="5B9E5B1F"/>
    <w:rsid w:val="5BA23F02"/>
    <w:rsid w:val="5BA97CF7"/>
    <w:rsid w:val="5BADF1A9"/>
    <w:rsid w:val="5BB05926"/>
    <w:rsid w:val="5BB8E5DA"/>
    <w:rsid w:val="5BBADEDF"/>
    <w:rsid w:val="5BCB622E"/>
    <w:rsid w:val="5BCE022A"/>
    <w:rsid w:val="5BD89110"/>
    <w:rsid w:val="5BF71383"/>
    <w:rsid w:val="5BF97362"/>
    <w:rsid w:val="5C12A657"/>
    <w:rsid w:val="5C2088C7"/>
    <w:rsid w:val="5C29BBD1"/>
    <w:rsid w:val="5C321D10"/>
    <w:rsid w:val="5C36CC42"/>
    <w:rsid w:val="5C3C0A72"/>
    <w:rsid w:val="5C3C2E18"/>
    <w:rsid w:val="5C435791"/>
    <w:rsid w:val="5C5368E6"/>
    <w:rsid w:val="5C67C8FD"/>
    <w:rsid w:val="5C8041EC"/>
    <w:rsid w:val="5C80A265"/>
    <w:rsid w:val="5C820EF6"/>
    <w:rsid w:val="5C8DCF41"/>
    <w:rsid w:val="5CC2AE97"/>
    <w:rsid w:val="5CC4E1D8"/>
    <w:rsid w:val="5CD70BCA"/>
    <w:rsid w:val="5CE2D8E9"/>
    <w:rsid w:val="5CEF925D"/>
    <w:rsid w:val="5CF2AFD0"/>
    <w:rsid w:val="5CF72036"/>
    <w:rsid w:val="5CFE6942"/>
    <w:rsid w:val="5D092DD3"/>
    <w:rsid w:val="5D1832CF"/>
    <w:rsid w:val="5D2FD47C"/>
    <w:rsid w:val="5D3CD98E"/>
    <w:rsid w:val="5D462239"/>
    <w:rsid w:val="5D4A3DE0"/>
    <w:rsid w:val="5D4E8B84"/>
    <w:rsid w:val="5D5CFFB7"/>
    <w:rsid w:val="5D6B276F"/>
    <w:rsid w:val="5D6CA7A1"/>
    <w:rsid w:val="5DA458A4"/>
    <w:rsid w:val="5DA6B16B"/>
    <w:rsid w:val="5DACC583"/>
    <w:rsid w:val="5DB034B7"/>
    <w:rsid w:val="5DE45BF1"/>
    <w:rsid w:val="5DEE14EF"/>
    <w:rsid w:val="5DF29721"/>
    <w:rsid w:val="5DFC3282"/>
    <w:rsid w:val="5DFD1C7D"/>
    <w:rsid w:val="5E21C66F"/>
    <w:rsid w:val="5E2785EE"/>
    <w:rsid w:val="5E2FFF68"/>
    <w:rsid w:val="5E38F085"/>
    <w:rsid w:val="5E447986"/>
    <w:rsid w:val="5E57F37C"/>
    <w:rsid w:val="5E639F74"/>
    <w:rsid w:val="5E641741"/>
    <w:rsid w:val="5E75A0D0"/>
    <w:rsid w:val="5E9573C7"/>
    <w:rsid w:val="5E96DCF6"/>
    <w:rsid w:val="5E98EB83"/>
    <w:rsid w:val="5EA71791"/>
    <w:rsid w:val="5EB14BAE"/>
    <w:rsid w:val="5EB3F01B"/>
    <w:rsid w:val="5EB75649"/>
    <w:rsid w:val="5EB9572D"/>
    <w:rsid w:val="5EB9EA1C"/>
    <w:rsid w:val="5EBB7DB3"/>
    <w:rsid w:val="5EC1D7A2"/>
    <w:rsid w:val="5ED18CA4"/>
    <w:rsid w:val="5EE3BC53"/>
    <w:rsid w:val="5EEAA2FB"/>
    <w:rsid w:val="5EEECF65"/>
    <w:rsid w:val="5EF2A18C"/>
    <w:rsid w:val="5F01EA73"/>
    <w:rsid w:val="5F080E94"/>
    <w:rsid w:val="5F08D140"/>
    <w:rsid w:val="5F1342CA"/>
    <w:rsid w:val="5F13F811"/>
    <w:rsid w:val="5F153C49"/>
    <w:rsid w:val="5F163B92"/>
    <w:rsid w:val="5F2F2003"/>
    <w:rsid w:val="5F2FAA4E"/>
    <w:rsid w:val="5F487394"/>
    <w:rsid w:val="5F49E272"/>
    <w:rsid w:val="5F4D6494"/>
    <w:rsid w:val="5F56D51C"/>
    <w:rsid w:val="5F59EE63"/>
    <w:rsid w:val="5F727F3E"/>
    <w:rsid w:val="5F7A8562"/>
    <w:rsid w:val="5F7EFF50"/>
    <w:rsid w:val="5F9C69CF"/>
    <w:rsid w:val="5FABAD27"/>
    <w:rsid w:val="5FAD5273"/>
    <w:rsid w:val="5FC2FB9F"/>
    <w:rsid w:val="5FD0885F"/>
    <w:rsid w:val="5FE452B2"/>
    <w:rsid w:val="5FE49539"/>
    <w:rsid w:val="5FE53B99"/>
    <w:rsid w:val="5FE60746"/>
    <w:rsid w:val="5FF31667"/>
    <w:rsid w:val="5FFB819F"/>
    <w:rsid w:val="60074194"/>
    <w:rsid w:val="6007EA94"/>
    <w:rsid w:val="600956BC"/>
    <w:rsid w:val="6013B4C9"/>
    <w:rsid w:val="60166D7C"/>
    <w:rsid w:val="60263CF5"/>
    <w:rsid w:val="60281298"/>
    <w:rsid w:val="60331274"/>
    <w:rsid w:val="603450EA"/>
    <w:rsid w:val="603EDD15"/>
    <w:rsid w:val="6059C21F"/>
    <w:rsid w:val="605F549B"/>
    <w:rsid w:val="60708C9C"/>
    <w:rsid w:val="60802D59"/>
    <w:rsid w:val="608A8264"/>
    <w:rsid w:val="60933FB3"/>
    <w:rsid w:val="60971FA5"/>
    <w:rsid w:val="609ABF2E"/>
    <w:rsid w:val="60A0367A"/>
    <w:rsid w:val="60BF4318"/>
    <w:rsid w:val="60C68FAE"/>
    <w:rsid w:val="60D22F54"/>
    <w:rsid w:val="60D6C886"/>
    <w:rsid w:val="60ED31BA"/>
    <w:rsid w:val="60FF955A"/>
    <w:rsid w:val="6104B0E9"/>
    <w:rsid w:val="6107D0D0"/>
    <w:rsid w:val="611B692B"/>
    <w:rsid w:val="6125AE9A"/>
    <w:rsid w:val="61371D43"/>
    <w:rsid w:val="613B084A"/>
    <w:rsid w:val="61524652"/>
    <w:rsid w:val="61606954"/>
    <w:rsid w:val="6176911D"/>
    <w:rsid w:val="61773F7C"/>
    <w:rsid w:val="6177B39D"/>
    <w:rsid w:val="6178B194"/>
    <w:rsid w:val="618535C3"/>
    <w:rsid w:val="6189A2BC"/>
    <w:rsid w:val="618AA704"/>
    <w:rsid w:val="61B7E60C"/>
    <w:rsid w:val="61CDA7FA"/>
    <w:rsid w:val="61D5C0EA"/>
    <w:rsid w:val="61E86B46"/>
    <w:rsid w:val="61F20DE1"/>
    <w:rsid w:val="61F97864"/>
    <w:rsid w:val="61FA169B"/>
    <w:rsid w:val="61FB93C3"/>
    <w:rsid w:val="61FE4316"/>
    <w:rsid w:val="62018F57"/>
    <w:rsid w:val="6203BBEA"/>
    <w:rsid w:val="6204D519"/>
    <w:rsid w:val="62060136"/>
    <w:rsid w:val="620A285D"/>
    <w:rsid w:val="621DA170"/>
    <w:rsid w:val="622017DA"/>
    <w:rsid w:val="6223F32D"/>
    <w:rsid w:val="62252BFF"/>
    <w:rsid w:val="624A53D0"/>
    <w:rsid w:val="6257D41E"/>
    <w:rsid w:val="625F2A2C"/>
    <w:rsid w:val="626545B7"/>
    <w:rsid w:val="6288A49C"/>
    <w:rsid w:val="6295CAF1"/>
    <w:rsid w:val="6298D2D1"/>
    <w:rsid w:val="6299E99B"/>
    <w:rsid w:val="62A7115B"/>
    <w:rsid w:val="62B293C0"/>
    <w:rsid w:val="62B3AB33"/>
    <w:rsid w:val="62C099F8"/>
    <w:rsid w:val="62C6DECA"/>
    <w:rsid w:val="62CE202E"/>
    <w:rsid w:val="62EB3E0F"/>
    <w:rsid w:val="62EC5255"/>
    <w:rsid w:val="62FE762E"/>
    <w:rsid w:val="63099380"/>
    <w:rsid w:val="630A356C"/>
    <w:rsid w:val="6322959E"/>
    <w:rsid w:val="632B649F"/>
    <w:rsid w:val="6335313B"/>
    <w:rsid w:val="633F1B6B"/>
    <w:rsid w:val="6340E7FF"/>
    <w:rsid w:val="6342FEA6"/>
    <w:rsid w:val="634944C4"/>
    <w:rsid w:val="634FB641"/>
    <w:rsid w:val="6358A80A"/>
    <w:rsid w:val="635D73F8"/>
    <w:rsid w:val="6373278B"/>
    <w:rsid w:val="637BB7A4"/>
    <w:rsid w:val="63821176"/>
    <w:rsid w:val="639DC058"/>
    <w:rsid w:val="63A0A57A"/>
    <w:rsid w:val="63A91352"/>
    <w:rsid w:val="63B82995"/>
    <w:rsid w:val="63BC7EFF"/>
    <w:rsid w:val="63D13E81"/>
    <w:rsid w:val="63D8227F"/>
    <w:rsid w:val="63F04DAA"/>
    <w:rsid w:val="63F11F61"/>
    <w:rsid w:val="64014B18"/>
    <w:rsid w:val="6403C26C"/>
    <w:rsid w:val="641D1A49"/>
    <w:rsid w:val="6425B357"/>
    <w:rsid w:val="64283DF5"/>
    <w:rsid w:val="6428C485"/>
    <w:rsid w:val="642FDD2C"/>
    <w:rsid w:val="643F54EC"/>
    <w:rsid w:val="6445EECA"/>
    <w:rsid w:val="64525F32"/>
    <w:rsid w:val="6478BF95"/>
    <w:rsid w:val="6481E184"/>
    <w:rsid w:val="648C239A"/>
    <w:rsid w:val="648CA225"/>
    <w:rsid w:val="64917315"/>
    <w:rsid w:val="64AFF1CC"/>
    <w:rsid w:val="64CDE943"/>
    <w:rsid w:val="64DDB3FB"/>
    <w:rsid w:val="64F90F92"/>
    <w:rsid w:val="6517B499"/>
    <w:rsid w:val="651CC0C6"/>
    <w:rsid w:val="651DC750"/>
    <w:rsid w:val="6526FFB4"/>
    <w:rsid w:val="65289FBB"/>
    <w:rsid w:val="652C47E4"/>
    <w:rsid w:val="6531209B"/>
    <w:rsid w:val="65360F7C"/>
    <w:rsid w:val="654BC2C6"/>
    <w:rsid w:val="654FCE56"/>
    <w:rsid w:val="6562BE69"/>
    <w:rsid w:val="657016B0"/>
    <w:rsid w:val="6573805F"/>
    <w:rsid w:val="658CEFC2"/>
    <w:rsid w:val="659AB992"/>
    <w:rsid w:val="659E2664"/>
    <w:rsid w:val="65A1D63E"/>
    <w:rsid w:val="65A4E473"/>
    <w:rsid w:val="65B0AF6F"/>
    <w:rsid w:val="65B6FD04"/>
    <w:rsid w:val="65B868CD"/>
    <w:rsid w:val="65BB81D6"/>
    <w:rsid w:val="65C0B334"/>
    <w:rsid w:val="65C125B9"/>
    <w:rsid w:val="65C37E47"/>
    <w:rsid w:val="65CED6D6"/>
    <w:rsid w:val="65D11D65"/>
    <w:rsid w:val="65D4DC09"/>
    <w:rsid w:val="65D77FCF"/>
    <w:rsid w:val="65E9C3A0"/>
    <w:rsid w:val="6604675B"/>
    <w:rsid w:val="660E8C6E"/>
    <w:rsid w:val="661355E8"/>
    <w:rsid w:val="66183C67"/>
    <w:rsid w:val="66187554"/>
    <w:rsid w:val="663005FD"/>
    <w:rsid w:val="66433B97"/>
    <w:rsid w:val="66433F8D"/>
    <w:rsid w:val="6654970A"/>
    <w:rsid w:val="66621A82"/>
    <w:rsid w:val="6667B84B"/>
    <w:rsid w:val="666EC7DA"/>
    <w:rsid w:val="666F3FA2"/>
    <w:rsid w:val="6674F031"/>
    <w:rsid w:val="667D5B25"/>
    <w:rsid w:val="66847D67"/>
    <w:rsid w:val="6688B9C3"/>
    <w:rsid w:val="66900244"/>
    <w:rsid w:val="66B381E9"/>
    <w:rsid w:val="66B44E0A"/>
    <w:rsid w:val="66B50645"/>
    <w:rsid w:val="66C1D0B6"/>
    <w:rsid w:val="66E0F17D"/>
    <w:rsid w:val="66EAB232"/>
    <w:rsid w:val="66ECD484"/>
    <w:rsid w:val="66EF46AC"/>
    <w:rsid w:val="67003976"/>
    <w:rsid w:val="670B30C8"/>
    <w:rsid w:val="67130F22"/>
    <w:rsid w:val="672021D8"/>
    <w:rsid w:val="672154E5"/>
    <w:rsid w:val="6741FC57"/>
    <w:rsid w:val="674CE1E7"/>
    <w:rsid w:val="67788DE6"/>
    <w:rsid w:val="677A6316"/>
    <w:rsid w:val="678E1F52"/>
    <w:rsid w:val="67A84E66"/>
    <w:rsid w:val="67A9F72D"/>
    <w:rsid w:val="67CA5A55"/>
    <w:rsid w:val="67D068EA"/>
    <w:rsid w:val="67E6B7B8"/>
    <w:rsid w:val="67ED0635"/>
    <w:rsid w:val="67FBF2A5"/>
    <w:rsid w:val="67FED5C2"/>
    <w:rsid w:val="6801F0E2"/>
    <w:rsid w:val="6803C63C"/>
    <w:rsid w:val="6836590D"/>
    <w:rsid w:val="683E5297"/>
    <w:rsid w:val="685192ED"/>
    <w:rsid w:val="68577D39"/>
    <w:rsid w:val="6868B9E8"/>
    <w:rsid w:val="687E1634"/>
    <w:rsid w:val="687EBE17"/>
    <w:rsid w:val="687F8C08"/>
    <w:rsid w:val="6880299F"/>
    <w:rsid w:val="68812639"/>
    <w:rsid w:val="6891CA01"/>
    <w:rsid w:val="68929FEC"/>
    <w:rsid w:val="6893D1EB"/>
    <w:rsid w:val="68A4520A"/>
    <w:rsid w:val="68A62C81"/>
    <w:rsid w:val="68AD2A72"/>
    <w:rsid w:val="68B27B27"/>
    <w:rsid w:val="68C65B09"/>
    <w:rsid w:val="68CD6728"/>
    <w:rsid w:val="68CF0DC0"/>
    <w:rsid w:val="68DD7EA2"/>
    <w:rsid w:val="69065940"/>
    <w:rsid w:val="69166444"/>
    <w:rsid w:val="691946A3"/>
    <w:rsid w:val="6923DC41"/>
    <w:rsid w:val="69262F35"/>
    <w:rsid w:val="693276E0"/>
    <w:rsid w:val="6933EAA7"/>
    <w:rsid w:val="69345EFE"/>
    <w:rsid w:val="69369D7E"/>
    <w:rsid w:val="694840E4"/>
    <w:rsid w:val="694EB133"/>
    <w:rsid w:val="6953B6CF"/>
    <w:rsid w:val="697A380A"/>
    <w:rsid w:val="697DAB10"/>
    <w:rsid w:val="6988A2B2"/>
    <w:rsid w:val="6989B7C6"/>
    <w:rsid w:val="6992C7AE"/>
    <w:rsid w:val="6997063E"/>
    <w:rsid w:val="6999EAEB"/>
    <w:rsid w:val="6999F9AE"/>
    <w:rsid w:val="69A7FA77"/>
    <w:rsid w:val="69ABF09F"/>
    <w:rsid w:val="69B8B0B0"/>
    <w:rsid w:val="69C46867"/>
    <w:rsid w:val="69C6AE2E"/>
    <w:rsid w:val="69D17C03"/>
    <w:rsid w:val="69D5582C"/>
    <w:rsid w:val="69EF23BC"/>
    <w:rsid w:val="69EF9E61"/>
    <w:rsid w:val="69F38B03"/>
    <w:rsid w:val="6A0A5987"/>
    <w:rsid w:val="6A106674"/>
    <w:rsid w:val="6A1971D2"/>
    <w:rsid w:val="6A1A3C01"/>
    <w:rsid w:val="6A1D1B2F"/>
    <w:rsid w:val="6A247934"/>
    <w:rsid w:val="6A2DA604"/>
    <w:rsid w:val="6A32C153"/>
    <w:rsid w:val="6A4F8FCD"/>
    <w:rsid w:val="6A5A3935"/>
    <w:rsid w:val="6A665375"/>
    <w:rsid w:val="6A6A0940"/>
    <w:rsid w:val="6A6D3B06"/>
    <w:rsid w:val="6A70BB57"/>
    <w:rsid w:val="6A76CC38"/>
    <w:rsid w:val="6A78760A"/>
    <w:rsid w:val="6A89F685"/>
    <w:rsid w:val="6A92B0A4"/>
    <w:rsid w:val="6A9A6F76"/>
    <w:rsid w:val="6AA56F46"/>
    <w:rsid w:val="6AA9399B"/>
    <w:rsid w:val="6AAEB316"/>
    <w:rsid w:val="6AC59A7A"/>
    <w:rsid w:val="6AD0D2F7"/>
    <w:rsid w:val="6AE2C7A9"/>
    <w:rsid w:val="6AEBE677"/>
    <w:rsid w:val="6AF8FE01"/>
    <w:rsid w:val="6AFCE00E"/>
    <w:rsid w:val="6AFCFA10"/>
    <w:rsid w:val="6B06E714"/>
    <w:rsid w:val="6B0735C6"/>
    <w:rsid w:val="6B093CB9"/>
    <w:rsid w:val="6B13B2EA"/>
    <w:rsid w:val="6B2909C1"/>
    <w:rsid w:val="6B31BF3D"/>
    <w:rsid w:val="6B32C2D2"/>
    <w:rsid w:val="6B3CD3F1"/>
    <w:rsid w:val="6B431FEF"/>
    <w:rsid w:val="6B43FF29"/>
    <w:rsid w:val="6B51C780"/>
    <w:rsid w:val="6B57C59F"/>
    <w:rsid w:val="6B660EB0"/>
    <w:rsid w:val="6B67EE65"/>
    <w:rsid w:val="6B6B7D64"/>
    <w:rsid w:val="6B808AA6"/>
    <w:rsid w:val="6B881D59"/>
    <w:rsid w:val="6B89AD5D"/>
    <w:rsid w:val="6B8B6EC2"/>
    <w:rsid w:val="6B8D8A64"/>
    <w:rsid w:val="6BA12115"/>
    <w:rsid w:val="6BA5156F"/>
    <w:rsid w:val="6BBF8AF6"/>
    <w:rsid w:val="6BBFAF7E"/>
    <w:rsid w:val="6BC1EE81"/>
    <w:rsid w:val="6BCAD72B"/>
    <w:rsid w:val="6BCE2AB7"/>
    <w:rsid w:val="6BDB305B"/>
    <w:rsid w:val="6BDF7C6F"/>
    <w:rsid w:val="6BE921F1"/>
    <w:rsid w:val="6BFA4D45"/>
    <w:rsid w:val="6C09C6F4"/>
    <w:rsid w:val="6C0A9C99"/>
    <w:rsid w:val="6C1B2E52"/>
    <w:rsid w:val="6C1EC01C"/>
    <w:rsid w:val="6C21A6E4"/>
    <w:rsid w:val="6C2364B2"/>
    <w:rsid w:val="6C3D0747"/>
    <w:rsid w:val="6C435CBC"/>
    <w:rsid w:val="6C496437"/>
    <w:rsid w:val="6C5322BD"/>
    <w:rsid w:val="6C5365D4"/>
    <w:rsid w:val="6C54C575"/>
    <w:rsid w:val="6C55F20B"/>
    <w:rsid w:val="6C5C7FE1"/>
    <w:rsid w:val="6C67F134"/>
    <w:rsid w:val="6C856CD8"/>
    <w:rsid w:val="6C8C6BEF"/>
    <w:rsid w:val="6C908E6F"/>
    <w:rsid w:val="6C9638FC"/>
    <w:rsid w:val="6CA84858"/>
    <w:rsid w:val="6CB91E88"/>
    <w:rsid w:val="6CC1E272"/>
    <w:rsid w:val="6CCD8708"/>
    <w:rsid w:val="6CD49635"/>
    <w:rsid w:val="6CDA678E"/>
    <w:rsid w:val="6CFC35FA"/>
    <w:rsid w:val="6D0E2022"/>
    <w:rsid w:val="6D1279B4"/>
    <w:rsid w:val="6D16FD6E"/>
    <w:rsid w:val="6D19CB7B"/>
    <w:rsid w:val="6D24D3AE"/>
    <w:rsid w:val="6D308E8F"/>
    <w:rsid w:val="6D35A270"/>
    <w:rsid w:val="6D37A21C"/>
    <w:rsid w:val="6D43F382"/>
    <w:rsid w:val="6D46800E"/>
    <w:rsid w:val="6D4B548D"/>
    <w:rsid w:val="6D556CB5"/>
    <w:rsid w:val="6D602837"/>
    <w:rsid w:val="6D6790D9"/>
    <w:rsid w:val="6D6C17A6"/>
    <w:rsid w:val="6D6F8B3C"/>
    <w:rsid w:val="6D74DF51"/>
    <w:rsid w:val="6D859CF8"/>
    <w:rsid w:val="6D90B778"/>
    <w:rsid w:val="6D97AF0E"/>
    <w:rsid w:val="6DABBD46"/>
    <w:rsid w:val="6DAC041D"/>
    <w:rsid w:val="6DB46C00"/>
    <w:rsid w:val="6DC0F140"/>
    <w:rsid w:val="6DCDAB25"/>
    <w:rsid w:val="6DD317EA"/>
    <w:rsid w:val="6DD90C37"/>
    <w:rsid w:val="6DEF994B"/>
    <w:rsid w:val="6E0E4A5E"/>
    <w:rsid w:val="6E0F97CC"/>
    <w:rsid w:val="6E26D0AB"/>
    <w:rsid w:val="6E305D3D"/>
    <w:rsid w:val="6E3480D0"/>
    <w:rsid w:val="6E39D942"/>
    <w:rsid w:val="6E4A4EE8"/>
    <w:rsid w:val="6E4FE1B8"/>
    <w:rsid w:val="6E56A325"/>
    <w:rsid w:val="6E69A8FB"/>
    <w:rsid w:val="6E6CC496"/>
    <w:rsid w:val="6E6F7D19"/>
    <w:rsid w:val="6E8C45E7"/>
    <w:rsid w:val="6E90E114"/>
    <w:rsid w:val="6EB94EFC"/>
    <w:rsid w:val="6EC033D4"/>
    <w:rsid w:val="6EC0AFA2"/>
    <w:rsid w:val="6EC535BE"/>
    <w:rsid w:val="6EC8772E"/>
    <w:rsid w:val="6ED68F0B"/>
    <w:rsid w:val="6ED6DC2C"/>
    <w:rsid w:val="6ED7FB6C"/>
    <w:rsid w:val="6EDD62D9"/>
    <w:rsid w:val="6F0573C0"/>
    <w:rsid w:val="6F0B3729"/>
    <w:rsid w:val="6F11505B"/>
    <w:rsid w:val="6F167458"/>
    <w:rsid w:val="6F2CFE42"/>
    <w:rsid w:val="6F30EB6D"/>
    <w:rsid w:val="6F392445"/>
    <w:rsid w:val="6F3B4F54"/>
    <w:rsid w:val="6F406AA3"/>
    <w:rsid w:val="6F40850E"/>
    <w:rsid w:val="6F4381BA"/>
    <w:rsid w:val="6F854517"/>
    <w:rsid w:val="6F89EE9E"/>
    <w:rsid w:val="6F8CCCD0"/>
    <w:rsid w:val="6F924E14"/>
    <w:rsid w:val="6F93AF53"/>
    <w:rsid w:val="6FD61498"/>
    <w:rsid w:val="6FDAC62A"/>
    <w:rsid w:val="6FE0F0F6"/>
    <w:rsid w:val="6FE40281"/>
    <w:rsid w:val="6FE7B0D3"/>
    <w:rsid w:val="6FE82737"/>
    <w:rsid w:val="6FEBD67E"/>
    <w:rsid w:val="6FEDA72D"/>
    <w:rsid w:val="6FEE065D"/>
    <w:rsid w:val="6FF004B3"/>
    <w:rsid w:val="6FF0BF4A"/>
    <w:rsid w:val="6FF5D0D6"/>
    <w:rsid w:val="6FF84232"/>
    <w:rsid w:val="6FF84DA8"/>
    <w:rsid w:val="700A3EB9"/>
    <w:rsid w:val="701201EB"/>
    <w:rsid w:val="70134504"/>
    <w:rsid w:val="701FB7A1"/>
    <w:rsid w:val="702499EF"/>
    <w:rsid w:val="70256F04"/>
    <w:rsid w:val="7026C01A"/>
    <w:rsid w:val="702E3B8E"/>
    <w:rsid w:val="70311064"/>
    <w:rsid w:val="703DE089"/>
    <w:rsid w:val="704F39C5"/>
    <w:rsid w:val="70904038"/>
    <w:rsid w:val="709C4211"/>
    <w:rsid w:val="70A35699"/>
    <w:rsid w:val="70A58414"/>
    <w:rsid w:val="70ABAB32"/>
    <w:rsid w:val="70B26736"/>
    <w:rsid w:val="70B995AF"/>
    <w:rsid w:val="70BB9305"/>
    <w:rsid w:val="70C6AF27"/>
    <w:rsid w:val="70D4704E"/>
    <w:rsid w:val="70DDBFCD"/>
    <w:rsid w:val="70FA3C8B"/>
    <w:rsid w:val="7100EB71"/>
    <w:rsid w:val="7109C7AB"/>
    <w:rsid w:val="710D4647"/>
    <w:rsid w:val="71104F3A"/>
    <w:rsid w:val="7114B1E1"/>
    <w:rsid w:val="7119BBEE"/>
    <w:rsid w:val="7128225F"/>
    <w:rsid w:val="7141E651"/>
    <w:rsid w:val="71485570"/>
    <w:rsid w:val="714F3F40"/>
    <w:rsid w:val="7165AA08"/>
    <w:rsid w:val="71664209"/>
    <w:rsid w:val="716D91C2"/>
    <w:rsid w:val="716DC493"/>
    <w:rsid w:val="71758E83"/>
    <w:rsid w:val="717F5AC7"/>
    <w:rsid w:val="71818B03"/>
    <w:rsid w:val="718C8FAB"/>
    <w:rsid w:val="719D9394"/>
    <w:rsid w:val="719F6D2A"/>
    <w:rsid w:val="71A341FB"/>
    <w:rsid w:val="71ABBA80"/>
    <w:rsid w:val="71D3255F"/>
    <w:rsid w:val="71D88617"/>
    <w:rsid w:val="71DE13E5"/>
    <w:rsid w:val="71E187E9"/>
    <w:rsid w:val="71E7AC0A"/>
    <w:rsid w:val="71E97B0B"/>
    <w:rsid w:val="71ED3535"/>
    <w:rsid w:val="71FA2E5A"/>
    <w:rsid w:val="720BA1E8"/>
    <w:rsid w:val="720D3E4E"/>
    <w:rsid w:val="720F9C2E"/>
    <w:rsid w:val="72106717"/>
    <w:rsid w:val="72143E6A"/>
    <w:rsid w:val="7218F110"/>
    <w:rsid w:val="72215028"/>
    <w:rsid w:val="7232F155"/>
    <w:rsid w:val="7233C12A"/>
    <w:rsid w:val="723D895F"/>
    <w:rsid w:val="724844E1"/>
    <w:rsid w:val="7256F67D"/>
    <w:rsid w:val="7257A9D6"/>
    <w:rsid w:val="7269FB05"/>
    <w:rsid w:val="726B3561"/>
    <w:rsid w:val="727F0B81"/>
    <w:rsid w:val="728BC3A1"/>
    <w:rsid w:val="7294D9DF"/>
    <w:rsid w:val="7296D21D"/>
    <w:rsid w:val="729E282B"/>
    <w:rsid w:val="72AD009F"/>
    <w:rsid w:val="72B5574F"/>
    <w:rsid w:val="72BB43AF"/>
    <w:rsid w:val="72BD2614"/>
    <w:rsid w:val="72BE9D32"/>
    <w:rsid w:val="72CB29C4"/>
    <w:rsid w:val="72CB3045"/>
    <w:rsid w:val="72CBB192"/>
    <w:rsid w:val="72E39276"/>
    <w:rsid w:val="72E483FD"/>
    <w:rsid w:val="72EB3403"/>
    <w:rsid w:val="72EC77D6"/>
    <w:rsid w:val="72EDF894"/>
    <w:rsid w:val="72F05C0A"/>
    <w:rsid w:val="72F1CE58"/>
    <w:rsid w:val="72F8A2A4"/>
    <w:rsid w:val="72FD602E"/>
    <w:rsid w:val="72FE4E6A"/>
    <w:rsid w:val="72FFF335"/>
    <w:rsid w:val="7307F1F3"/>
    <w:rsid w:val="73192BA7"/>
    <w:rsid w:val="7319F2B0"/>
    <w:rsid w:val="732614C2"/>
    <w:rsid w:val="732676DF"/>
    <w:rsid w:val="732BD1DC"/>
    <w:rsid w:val="732E3194"/>
    <w:rsid w:val="733531B0"/>
    <w:rsid w:val="733FE73D"/>
    <w:rsid w:val="73463599"/>
    <w:rsid w:val="737410BC"/>
    <w:rsid w:val="7375E2A1"/>
    <w:rsid w:val="73A31645"/>
    <w:rsid w:val="73B3DA11"/>
    <w:rsid w:val="73B89787"/>
    <w:rsid w:val="73B9F377"/>
    <w:rsid w:val="73BF7F1D"/>
    <w:rsid w:val="73DA68CA"/>
    <w:rsid w:val="73DB2AC0"/>
    <w:rsid w:val="73DD0C4D"/>
    <w:rsid w:val="73E28D3E"/>
    <w:rsid w:val="73E9750A"/>
    <w:rsid w:val="73EE3294"/>
    <w:rsid w:val="7404DDDD"/>
    <w:rsid w:val="7409F942"/>
    <w:rsid w:val="74275486"/>
    <w:rsid w:val="742B9394"/>
    <w:rsid w:val="7432068B"/>
    <w:rsid w:val="743C7DDF"/>
    <w:rsid w:val="743FA62A"/>
    <w:rsid w:val="744041D0"/>
    <w:rsid w:val="7441412F"/>
    <w:rsid w:val="7444B236"/>
    <w:rsid w:val="745087CF"/>
    <w:rsid w:val="7454BF18"/>
    <w:rsid w:val="74711B3D"/>
    <w:rsid w:val="74752552"/>
    <w:rsid w:val="7475FB3E"/>
    <w:rsid w:val="749D56A7"/>
    <w:rsid w:val="749F9251"/>
    <w:rsid w:val="74AF0F98"/>
    <w:rsid w:val="74BBC613"/>
    <w:rsid w:val="74CA2FAE"/>
    <w:rsid w:val="74CEC752"/>
    <w:rsid w:val="74D31100"/>
    <w:rsid w:val="74EA7C53"/>
    <w:rsid w:val="74F5390F"/>
    <w:rsid w:val="74F5FFA9"/>
    <w:rsid w:val="74F76001"/>
    <w:rsid w:val="74FD63FE"/>
    <w:rsid w:val="74FDF222"/>
    <w:rsid w:val="75021330"/>
    <w:rsid w:val="750EC42D"/>
    <w:rsid w:val="751C13AF"/>
    <w:rsid w:val="751DBAC5"/>
    <w:rsid w:val="7521F78F"/>
    <w:rsid w:val="752E5877"/>
    <w:rsid w:val="75312612"/>
    <w:rsid w:val="7537E64A"/>
    <w:rsid w:val="753C5555"/>
    <w:rsid w:val="7563F295"/>
    <w:rsid w:val="756624F1"/>
    <w:rsid w:val="7566F37B"/>
    <w:rsid w:val="75747E56"/>
    <w:rsid w:val="7575EF06"/>
    <w:rsid w:val="7576E470"/>
    <w:rsid w:val="757D8CD7"/>
    <w:rsid w:val="7580F0D1"/>
    <w:rsid w:val="75822F3D"/>
    <w:rsid w:val="75AC05AE"/>
    <w:rsid w:val="75B21BCE"/>
    <w:rsid w:val="75B5F014"/>
    <w:rsid w:val="75B9A3CA"/>
    <w:rsid w:val="75BF6317"/>
    <w:rsid w:val="75C74FA2"/>
    <w:rsid w:val="75D2F03B"/>
    <w:rsid w:val="75E31075"/>
    <w:rsid w:val="75E32606"/>
    <w:rsid w:val="75FC6E97"/>
    <w:rsid w:val="75FD308B"/>
    <w:rsid w:val="760835AD"/>
    <w:rsid w:val="76139659"/>
    <w:rsid w:val="761CC3DE"/>
    <w:rsid w:val="76335A63"/>
    <w:rsid w:val="763F5EC1"/>
    <w:rsid w:val="7653A454"/>
    <w:rsid w:val="766000CE"/>
    <w:rsid w:val="7679AE41"/>
    <w:rsid w:val="767B787B"/>
    <w:rsid w:val="767F49BA"/>
    <w:rsid w:val="7681A41F"/>
    <w:rsid w:val="7699BD01"/>
    <w:rsid w:val="76B6359A"/>
    <w:rsid w:val="76B75417"/>
    <w:rsid w:val="76BDC56C"/>
    <w:rsid w:val="76C1A277"/>
    <w:rsid w:val="76C9C431"/>
    <w:rsid w:val="76CBD915"/>
    <w:rsid w:val="76D7A3BD"/>
    <w:rsid w:val="76E003A6"/>
    <w:rsid w:val="76E30D51"/>
    <w:rsid w:val="76E874BE"/>
    <w:rsid w:val="76EF2E15"/>
    <w:rsid w:val="76F04F70"/>
    <w:rsid w:val="76FC4275"/>
    <w:rsid w:val="77151247"/>
    <w:rsid w:val="7719D3F1"/>
    <w:rsid w:val="771C8BEB"/>
    <w:rsid w:val="7728F9F6"/>
    <w:rsid w:val="7734ED97"/>
    <w:rsid w:val="773BA9BE"/>
    <w:rsid w:val="7742BA3B"/>
    <w:rsid w:val="77489191"/>
    <w:rsid w:val="774D143C"/>
    <w:rsid w:val="774F6FC3"/>
    <w:rsid w:val="775F1FFB"/>
    <w:rsid w:val="77680BC1"/>
    <w:rsid w:val="777552DC"/>
    <w:rsid w:val="777A18DF"/>
    <w:rsid w:val="7784CA8A"/>
    <w:rsid w:val="7785519F"/>
    <w:rsid w:val="77998480"/>
    <w:rsid w:val="779B579F"/>
    <w:rsid w:val="77A5EEF6"/>
    <w:rsid w:val="77A7103B"/>
    <w:rsid w:val="77B3F31C"/>
    <w:rsid w:val="77BE49F7"/>
    <w:rsid w:val="77C27C90"/>
    <w:rsid w:val="77C5BAD3"/>
    <w:rsid w:val="780773E3"/>
    <w:rsid w:val="782D14B5"/>
    <w:rsid w:val="7831461A"/>
    <w:rsid w:val="7839E2A6"/>
    <w:rsid w:val="78460CC6"/>
    <w:rsid w:val="78520DE9"/>
    <w:rsid w:val="78532450"/>
    <w:rsid w:val="78583C4E"/>
    <w:rsid w:val="785893BD"/>
    <w:rsid w:val="78697725"/>
    <w:rsid w:val="786B4801"/>
    <w:rsid w:val="788DA6BD"/>
    <w:rsid w:val="789226F2"/>
    <w:rsid w:val="78A18860"/>
    <w:rsid w:val="78BF05B3"/>
    <w:rsid w:val="78C8608F"/>
    <w:rsid w:val="78CCBE14"/>
    <w:rsid w:val="78D99A96"/>
    <w:rsid w:val="78DB6DDB"/>
    <w:rsid w:val="78DF076D"/>
    <w:rsid w:val="78EC637C"/>
    <w:rsid w:val="78ECDC8F"/>
    <w:rsid w:val="78F92EE8"/>
    <w:rsid w:val="78FC7A5F"/>
    <w:rsid w:val="78FD3986"/>
    <w:rsid w:val="7916FE24"/>
    <w:rsid w:val="792EC01D"/>
    <w:rsid w:val="792F51AC"/>
    <w:rsid w:val="7932A81E"/>
    <w:rsid w:val="79470E84"/>
    <w:rsid w:val="794BC3A7"/>
    <w:rsid w:val="794C60BE"/>
    <w:rsid w:val="794CAA5B"/>
    <w:rsid w:val="795002BE"/>
    <w:rsid w:val="798AEF1D"/>
    <w:rsid w:val="799D0106"/>
    <w:rsid w:val="79A4D3BE"/>
    <w:rsid w:val="79AE7701"/>
    <w:rsid w:val="79E75D18"/>
    <w:rsid w:val="79FCDF1D"/>
    <w:rsid w:val="7A0292F9"/>
    <w:rsid w:val="7A0756E2"/>
    <w:rsid w:val="7A33C1EE"/>
    <w:rsid w:val="7A3412DE"/>
    <w:rsid w:val="7A3445BC"/>
    <w:rsid w:val="7A40E591"/>
    <w:rsid w:val="7A44C5ED"/>
    <w:rsid w:val="7A459327"/>
    <w:rsid w:val="7A45AC9A"/>
    <w:rsid w:val="7A53D5B5"/>
    <w:rsid w:val="7A564869"/>
    <w:rsid w:val="7A5C034B"/>
    <w:rsid w:val="7A5D52B5"/>
    <w:rsid w:val="7A5ED8E1"/>
    <w:rsid w:val="7A67767F"/>
    <w:rsid w:val="7A741F61"/>
    <w:rsid w:val="7A76DA15"/>
    <w:rsid w:val="7A78B22D"/>
    <w:rsid w:val="7A8C4E1A"/>
    <w:rsid w:val="7A9C62D3"/>
    <w:rsid w:val="7AA6CFC0"/>
    <w:rsid w:val="7AB2FC77"/>
    <w:rsid w:val="7AB3F5BD"/>
    <w:rsid w:val="7AB41AF8"/>
    <w:rsid w:val="7ABAD7B6"/>
    <w:rsid w:val="7ACDC5DC"/>
    <w:rsid w:val="7AD02F84"/>
    <w:rsid w:val="7ADB2010"/>
    <w:rsid w:val="7ADFF160"/>
    <w:rsid w:val="7AE83CF6"/>
    <w:rsid w:val="7AEBBA50"/>
    <w:rsid w:val="7AF08803"/>
    <w:rsid w:val="7AF2FA1D"/>
    <w:rsid w:val="7AF63040"/>
    <w:rsid w:val="7B044C01"/>
    <w:rsid w:val="7B0CA26F"/>
    <w:rsid w:val="7B0E0940"/>
    <w:rsid w:val="7B1303D8"/>
    <w:rsid w:val="7B28CDD3"/>
    <w:rsid w:val="7B2F4A0A"/>
    <w:rsid w:val="7B31539C"/>
    <w:rsid w:val="7B3D9991"/>
    <w:rsid w:val="7B41BF13"/>
    <w:rsid w:val="7B458205"/>
    <w:rsid w:val="7B46CF5A"/>
    <w:rsid w:val="7B491521"/>
    <w:rsid w:val="7B504F7C"/>
    <w:rsid w:val="7B6286BB"/>
    <w:rsid w:val="7B6846FB"/>
    <w:rsid w:val="7B6D01C0"/>
    <w:rsid w:val="7B70ED92"/>
    <w:rsid w:val="7B74A80E"/>
    <w:rsid w:val="7B7EA374"/>
    <w:rsid w:val="7B8982E3"/>
    <w:rsid w:val="7BA8E15D"/>
    <w:rsid w:val="7BA9D66F"/>
    <w:rsid w:val="7BB12A5F"/>
    <w:rsid w:val="7BB21E8F"/>
    <w:rsid w:val="7BB3AB72"/>
    <w:rsid w:val="7BB6C675"/>
    <w:rsid w:val="7BC7C3E3"/>
    <w:rsid w:val="7BEF8063"/>
    <w:rsid w:val="7BF11D86"/>
    <w:rsid w:val="7BF32660"/>
    <w:rsid w:val="7BFCBDA0"/>
    <w:rsid w:val="7C27D3B2"/>
    <w:rsid w:val="7C296312"/>
    <w:rsid w:val="7C2B277B"/>
    <w:rsid w:val="7C38F230"/>
    <w:rsid w:val="7C3A2327"/>
    <w:rsid w:val="7C77691A"/>
    <w:rsid w:val="7C7CC0AA"/>
    <w:rsid w:val="7C8617A4"/>
    <w:rsid w:val="7C8956E7"/>
    <w:rsid w:val="7C91190A"/>
    <w:rsid w:val="7C933A7E"/>
    <w:rsid w:val="7C9C2CC3"/>
    <w:rsid w:val="7CA2BA30"/>
    <w:rsid w:val="7CA2DACE"/>
    <w:rsid w:val="7CB391E2"/>
    <w:rsid w:val="7CB7B7B3"/>
    <w:rsid w:val="7CCE32E4"/>
    <w:rsid w:val="7CCF30A0"/>
    <w:rsid w:val="7CF9E490"/>
    <w:rsid w:val="7CFE87B6"/>
    <w:rsid w:val="7D0A3B50"/>
    <w:rsid w:val="7D0D4511"/>
    <w:rsid w:val="7D1D3FB9"/>
    <w:rsid w:val="7D1F9639"/>
    <w:rsid w:val="7D248A34"/>
    <w:rsid w:val="7D3CE3DD"/>
    <w:rsid w:val="7D4696D2"/>
    <w:rsid w:val="7D50E11B"/>
    <w:rsid w:val="7D524ED5"/>
    <w:rsid w:val="7D86B809"/>
    <w:rsid w:val="7D9E7762"/>
    <w:rsid w:val="7DA2AF13"/>
    <w:rsid w:val="7DA2F54B"/>
    <w:rsid w:val="7DA883C5"/>
    <w:rsid w:val="7DAF5A55"/>
    <w:rsid w:val="7DB833B9"/>
    <w:rsid w:val="7DB8EDE5"/>
    <w:rsid w:val="7DC0B9A0"/>
    <w:rsid w:val="7DC5F46D"/>
    <w:rsid w:val="7DD3D79B"/>
    <w:rsid w:val="7DDFC6B0"/>
    <w:rsid w:val="7DE0EC74"/>
    <w:rsid w:val="7E045737"/>
    <w:rsid w:val="7E08096D"/>
    <w:rsid w:val="7E121583"/>
    <w:rsid w:val="7E17FD83"/>
    <w:rsid w:val="7E185495"/>
    <w:rsid w:val="7E1B79EB"/>
    <w:rsid w:val="7E1BE165"/>
    <w:rsid w:val="7E28E655"/>
    <w:rsid w:val="7E4F2B7E"/>
    <w:rsid w:val="7E5AD8D7"/>
    <w:rsid w:val="7E85B67A"/>
    <w:rsid w:val="7E8AD829"/>
    <w:rsid w:val="7E8C4D85"/>
    <w:rsid w:val="7E9BE467"/>
    <w:rsid w:val="7EBC5A49"/>
    <w:rsid w:val="7EBD3ED0"/>
    <w:rsid w:val="7EC68921"/>
    <w:rsid w:val="7ED39EB5"/>
    <w:rsid w:val="7ED42522"/>
    <w:rsid w:val="7EE0707D"/>
    <w:rsid w:val="7EE4826E"/>
    <w:rsid w:val="7EEE1F36"/>
    <w:rsid w:val="7EF14664"/>
    <w:rsid w:val="7EF5A71A"/>
    <w:rsid w:val="7F068C3D"/>
    <w:rsid w:val="7F0F86B7"/>
    <w:rsid w:val="7F12F528"/>
    <w:rsid w:val="7F1C84B1"/>
    <w:rsid w:val="7F24E9F3"/>
    <w:rsid w:val="7F28C79D"/>
    <w:rsid w:val="7F2F2A72"/>
    <w:rsid w:val="7F340539"/>
    <w:rsid w:val="7F365C93"/>
    <w:rsid w:val="7F37F1AD"/>
    <w:rsid w:val="7F4868D9"/>
    <w:rsid w:val="7F740E5F"/>
    <w:rsid w:val="7F75A408"/>
    <w:rsid w:val="7F8095D1"/>
    <w:rsid w:val="7F846A05"/>
    <w:rsid w:val="7F869FAC"/>
    <w:rsid w:val="7F8768FA"/>
    <w:rsid w:val="7F8AB349"/>
    <w:rsid w:val="7F8B8D42"/>
    <w:rsid w:val="7F95308B"/>
    <w:rsid w:val="7F997B4E"/>
    <w:rsid w:val="7FA89CE6"/>
    <w:rsid w:val="7FB9BF73"/>
    <w:rsid w:val="7FD447D9"/>
    <w:rsid w:val="7FDDEC1A"/>
    <w:rsid w:val="7FE42778"/>
    <w:rsid w:val="7FEA3BC7"/>
    <w:rsid w:val="7FFBE9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B00EB"/>
  <w15:chartTrackingRefBased/>
  <w15:docId w15:val="{3985F822-72DE-4FF0-9549-1BBBF04E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02"/>
    <w:pPr>
      <w:spacing w:line="240" w:lineRule="auto"/>
      <w:jc w:val="both"/>
    </w:pPr>
    <w:rPr>
      <w:rFonts w:ascii="Source Sans Pro Light" w:hAnsi="Source Sans Pro Light" w:cs="Open Sans"/>
    </w:rPr>
  </w:style>
  <w:style w:type="paragraph" w:styleId="Titre1">
    <w:name w:val="heading 1"/>
    <w:basedOn w:val="Sous-titre"/>
    <w:next w:val="Normal"/>
    <w:link w:val="Titre1Car"/>
    <w:uiPriority w:val="9"/>
    <w:qFormat/>
    <w:rsid w:val="5F487394"/>
    <w:pPr>
      <w:numPr>
        <w:numId w:val="12"/>
      </w:numPr>
      <w:spacing w:after="320" w:line="216" w:lineRule="auto"/>
      <w:contextualSpacing/>
      <w:jc w:val="left"/>
      <w:outlineLvl w:val="0"/>
    </w:pPr>
    <w:rPr>
      <w:rFonts w:ascii="Source Sans Pro SemiBold" w:hAnsi="Source Sans Pro SemiBold"/>
      <w:sz w:val="44"/>
      <w:szCs w:val="44"/>
    </w:rPr>
  </w:style>
  <w:style w:type="paragraph" w:styleId="Titre2">
    <w:name w:val="heading 2"/>
    <w:basedOn w:val="Titre1"/>
    <w:next w:val="Normal"/>
    <w:link w:val="Titre2Car"/>
    <w:uiPriority w:val="9"/>
    <w:unhideWhenUsed/>
    <w:qFormat/>
    <w:rsid w:val="001B6CA9"/>
    <w:pPr>
      <w:numPr>
        <w:ilvl w:val="1"/>
      </w:numPr>
      <w:spacing w:before="400" w:after="160"/>
      <w:outlineLvl w:val="1"/>
    </w:pPr>
    <w:rPr>
      <w:rFonts w:ascii="Source Sans Pro" w:hAnsi="Source Sans Pro"/>
      <w:b/>
      <w:sz w:val="28"/>
      <w:szCs w:val="28"/>
    </w:rPr>
  </w:style>
  <w:style w:type="paragraph" w:styleId="Titre3">
    <w:name w:val="heading 3"/>
    <w:basedOn w:val="Titre1"/>
    <w:next w:val="Normal"/>
    <w:link w:val="Titre3Car"/>
    <w:uiPriority w:val="9"/>
    <w:unhideWhenUsed/>
    <w:qFormat/>
    <w:rsid w:val="5F487394"/>
    <w:pPr>
      <w:numPr>
        <w:ilvl w:val="2"/>
      </w:numPr>
      <w:spacing w:after="240"/>
      <w:outlineLvl w:val="2"/>
    </w:pPr>
    <w:rPr>
      <w:rFonts w:ascii="Source Sans Pro Light" w:hAnsi="Source Sans Pro Light"/>
      <w:b/>
      <w:sz w:val="24"/>
      <w:szCs w:val="24"/>
    </w:rPr>
  </w:style>
  <w:style w:type="paragraph" w:styleId="Titre4">
    <w:name w:val="heading 4"/>
    <w:basedOn w:val="Titre3"/>
    <w:next w:val="Normal"/>
    <w:link w:val="Titre4Car"/>
    <w:uiPriority w:val="9"/>
    <w:unhideWhenUsed/>
    <w:qFormat/>
    <w:rsid w:val="37F2BCDA"/>
    <w:pPr>
      <w:keepNext/>
      <w:keepLines/>
      <w:numPr>
        <w:ilvl w:val="3"/>
      </w:numPr>
      <w:spacing w:after="320"/>
      <w:outlineLvl w:val="3"/>
    </w:pPr>
    <w:rPr>
      <w:rFonts w:eastAsiaTheme="majorEastAsia" w:cstheme="majorBidi"/>
      <w:i/>
      <w:iCs/>
      <w:color w:val="000000" w:themeColor="text1"/>
      <w:sz w:val="22"/>
      <w:szCs w:val="22"/>
    </w:rPr>
  </w:style>
  <w:style w:type="paragraph" w:styleId="Titre5">
    <w:name w:val="heading 5"/>
    <w:basedOn w:val="Titre4"/>
    <w:next w:val="Normal"/>
    <w:link w:val="Titre5Car"/>
    <w:uiPriority w:val="9"/>
    <w:unhideWhenUsed/>
    <w:qFormat/>
    <w:rsid w:val="37F2BCDA"/>
    <w:pPr>
      <w:numPr>
        <w:ilvl w:val="4"/>
      </w:numPr>
      <w:spacing w:before="40" w:after="240"/>
      <w:outlineLvl w:val="4"/>
    </w:pPr>
  </w:style>
  <w:style w:type="paragraph" w:styleId="Titre6">
    <w:name w:val="heading 6"/>
    <w:basedOn w:val="Titre5"/>
    <w:next w:val="Normal"/>
    <w:link w:val="Titre6Car"/>
    <w:uiPriority w:val="9"/>
    <w:semiHidden/>
    <w:unhideWhenUsed/>
    <w:qFormat/>
    <w:rsid w:val="37F2BCDA"/>
    <w:pPr>
      <w:numPr>
        <w:ilvl w:val="5"/>
      </w:numPr>
      <w:outlineLvl w:val="5"/>
    </w:pPr>
  </w:style>
  <w:style w:type="paragraph" w:styleId="Titre7">
    <w:name w:val="heading 7"/>
    <w:basedOn w:val="Titre6"/>
    <w:next w:val="Normal"/>
    <w:link w:val="Titre7Car"/>
    <w:uiPriority w:val="9"/>
    <w:semiHidden/>
    <w:unhideWhenUsed/>
    <w:qFormat/>
    <w:rsid w:val="37F2BCDA"/>
    <w:pPr>
      <w:numPr>
        <w:ilvl w:val="6"/>
      </w:numPr>
      <w:outlineLvl w:val="6"/>
    </w:pPr>
  </w:style>
  <w:style w:type="paragraph" w:styleId="Titre8">
    <w:name w:val="heading 8"/>
    <w:basedOn w:val="Titre7"/>
    <w:next w:val="Normal"/>
    <w:link w:val="Titre8Car"/>
    <w:uiPriority w:val="9"/>
    <w:semiHidden/>
    <w:unhideWhenUsed/>
    <w:qFormat/>
    <w:rsid w:val="37F2BCDA"/>
    <w:pPr>
      <w:numPr>
        <w:ilvl w:val="7"/>
      </w:numPr>
      <w:outlineLvl w:val="7"/>
    </w:pPr>
  </w:style>
  <w:style w:type="paragraph" w:styleId="Titre9">
    <w:name w:val="heading 9"/>
    <w:basedOn w:val="Normal"/>
    <w:next w:val="Normal"/>
    <w:link w:val="Titre9Car"/>
    <w:uiPriority w:val="9"/>
    <w:semiHidden/>
    <w:unhideWhenUsed/>
    <w:qFormat/>
    <w:rsid w:val="00E93D2B"/>
    <w:pPr>
      <w:keepNext/>
      <w:keepLines/>
      <w:numPr>
        <w:ilvl w:val="8"/>
        <w:numId w:val="12"/>
      </w:numPr>
      <w:spacing w:before="40" w:after="0"/>
      <w:outlineLvl w:val="8"/>
    </w:pPr>
    <w:rPr>
      <w:rFonts w:eastAsiaTheme="majorEastAsia" w:cstheme="majorBidi"/>
      <w:iCs/>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OLTHISliste">
    <w:name w:val="SOLTHIS liste"/>
    <w:uiPriority w:val="99"/>
    <w:rsid w:val="0057700D"/>
    <w:pPr>
      <w:numPr>
        <w:numId w:val="6"/>
      </w:numPr>
    </w:pPr>
  </w:style>
  <w:style w:type="numbering" w:customStyle="1" w:styleId="Checklist">
    <w:name w:val="Checklist"/>
    <w:uiPriority w:val="99"/>
    <w:rsid w:val="0057700D"/>
    <w:pPr>
      <w:numPr>
        <w:numId w:val="7"/>
      </w:numPr>
    </w:pPr>
  </w:style>
  <w:style w:type="numbering" w:customStyle="1" w:styleId="Style1">
    <w:name w:val="Style1"/>
    <w:uiPriority w:val="99"/>
    <w:rsid w:val="0057700D"/>
    <w:pPr>
      <w:numPr>
        <w:numId w:val="8"/>
      </w:numPr>
    </w:pPr>
  </w:style>
  <w:style w:type="paragraph" w:styleId="Citation">
    <w:name w:val="Quote"/>
    <w:basedOn w:val="Normal"/>
    <w:next w:val="Normal"/>
    <w:link w:val="CitationCar"/>
    <w:uiPriority w:val="29"/>
    <w:qFormat/>
    <w:rsid w:val="007E05FB"/>
    <w:pPr>
      <w:jc w:val="center"/>
    </w:pPr>
    <w:rPr>
      <w:rFonts w:cstheme="minorHAnsi"/>
      <w:i/>
      <w:iCs/>
      <w:sz w:val="32"/>
      <w:szCs w:val="32"/>
    </w:rPr>
  </w:style>
  <w:style w:type="character" w:customStyle="1" w:styleId="CitationCar">
    <w:name w:val="Citation Car"/>
    <w:basedOn w:val="Policepardfaut"/>
    <w:link w:val="Citation"/>
    <w:uiPriority w:val="29"/>
    <w:rsid w:val="007E05FB"/>
    <w:rPr>
      <w:rFonts w:ascii="Source Sans Pro Light" w:hAnsi="Source Sans Pro Light" w:cstheme="minorHAnsi"/>
      <w:i/>
      <w:iCs/>
      <w:sz w:val="32"/>
      <w:szCs w:val="32"/>
    </w:rPr>
  </w:style>
  <w:style w:type="paragraph" w:styleId="Sansinterligne">
    <w:name w:val="No Spacing"/>
    <w:uiPriority w:val="1"/>
    <w:qFormat/>
    <w:rsid w:val="007E05FB"/>
    <w:pPr>
      <w:spacing w:after="0" w:line="240" w:lineRule="auto"/>
      <w:jc w:val="both"/>
    </w:pPr>
    <w:rPr>
      <w:rFonts w:ascii="Source Sans Pro Light" w:hAnsi="Source Sans Pro Light" w:cs="Open Sans"/>
      <w:sz w:val="24"/>
      <w:szCs w:val="24"/>
    </w:rPr>
  </w:style>
  <w:style w:type="paragraph" w:styleId="En-tte">
    <w:name w:val="header"/>
    <w:basedOn w:val="Normal"/>
    <w:link w:val="En-tteCar"/>
    <w:uiPriority w:val="99"/>
    <w:unhideWhenUsed/>
    <w:rsid w:val="0026776D"/>
    <w:pPr>
      <w:tabs>
        <w:tab w:val="center" w:pos="4536"/>
        <w:tab w:val="right" w:pos="9072"/>
      </w:tabs>
      <w:spacing w:after="0"/>
    </w:pPr>
  </w:style>
  <w:style w:type="character" w:customStyle="1" w:styleId="En-tteCar">
    <w:name w:val="En-tête Car"/>
    <w:basedOn w:val="Policepardfaut"/>
    <w:link w:val="En-tte"/>
    <w:uiPriority w:val="99"/>
    <w:rsid w:val="0026776D"/>
    <w:rPr>
      <w:rFonts w:ascii="Source Sans Pro Light" w:hAnsi="Source Sans Pro Light" w:cs="Open Sans"/>
      <w:sz w:val="24"/>
      <w:szCs w:val="24"/>
    </w:rPr>
  </w:style>
  <w:style w:type="paragraph" w:styleId="Pieddepage">
    <w:name w:val="footer"/>
    <w:basedOn w:val="Normal"/>
    <w:link w:val="PieddepageCar"/>
    <w:uiPriority w:val="99"/>
    <w:unhideWhenUsed/>
    <w:rsid w:val="0026776D"/>
    <w:pPr>
      <w:tabs>
        <w:tab w:val="center" w:pos="4536"/>
        <w:tab w:val="right" w:pos="9072"/>
      </w:tabs>
      <w:spacing w:after="0"/>
    </w:pPr>
  </w:style>
  <w:style w:type="character" w:customStyle="1" w:styleId="PieddepageCar">
    <w:name w:val="Pied de page Car"/>
    <w:basedOn w:val="Policepardfaut"/>
    <w:link w:val="Pieddepage"/>
    <w:uiPriority w:val="99"/>
    <w:rsid w:val="0026776D"/>
    <w:rPr>
      <w:rFonts w:ascii="Source Sans Pro Light" w:hAnsi="Source Sans Pro Light" w:cs="Open Sans"/>
      <w:sz w:val="24"/>
      <w:szCs w:val="24"/>
    </w:rPr>
  </w:style>
  <w:style w:type="paragraph" w:styleId="Sous-titre">
    <w:name w:val="Subtitle"/>
    <w:aliases w:val="Chapo"/>
    <w:basedOn w:val="Normal"/>
    <w:next w:val="Normal"/>
    <w:link w:val="Sous-titreCar"/>
    <w:uiPriority w:val="11"/>
    <w:qFormat/>
    <w:rsid w:val="00577089"/>
    <w:rPr>
      <w:bCs/>
      <w:sz w:val="32"/>
      <w:szCs w:val="28"/>
    </w:rPr>
  </w:style>
  <w:style w:type="character" w:customStyle="1" w:styleId="Sous-titreCar">
    <w:name w:val="Sous-titre Car"/>
    <w:aliases w:val="Chapo Car"/>
    <w:basedOn w:val="Policepardfaut"/>
    <w:link w:val="Sous-titre"/>
    <w:uiPriority w:val="11"/>
    <w:rsid w:val="00577089"/>
    <w:rPr>
      <w:rFonts w:ascii="Source Sans Pro Light" w:hAnsi="Source Sans Pro Light" w:cs="Open Sans"/>
      <w:bCs/>
      <w:sz w:val="32"/>
      <w:szCs w:val="28"/>
    </w:rPr>
  </w:style>
  <w:style w:type="table" w:styleId="Grilledutableau">
    <w:name w:val="Table Grid"/>
    <w:basedOn w:val="TableauNormal"/>
    <w:uiPriority w:val="39"/>
    <w:rsid w:val="00AF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5F487394"/>
    <w:rPr>
      <w:rFonts w:ascii="Source Sans Pro SemiBold" w:hAnsi="Source Sans Pro SemiBold" w:cs="Open Sans"/>
      <w:bCs/>
      <w:sz w:val="44"/>
      <w:szCs w:val="44"/>
    </w:rPr>
  </w:style>
  <w:style w:type="character" w:customStyle="1" w:styleId="Titre2Car">
    <w:name w:val="Titre 2 Car"/>
    <w:basedOn w:val="Policepardfaut"/>
    <w:link w:val="Titre2"/>
    <w:uiPriority w:val="9"/>
    <w:rsid w:val="001B6CA9"/>
    <w:rPr>
      <w:rFonts w:ascii="Source Sans Pro" w:hAnsi="Source Sans Pro" w:cs="Open Sans"/>
      <w:b/>
      <w:bCs/>
      <w:sz w:val="28"/>
      <w:szCs w:val="28"/>
    </w:rPr>
  </w:style>
  <w:style w:type="character" w:customStyle="1" w:styleId="Titre3Car">
    <w:name w:val="Titre 3 Car"/>
    <w:basedOn w:val="Policepardfaut"/>
    <w:link w:val="Titre3"/>
    <w:uiPriority w:val="9"/>
    <w:rsid w:val="006558B9"/>
    <w:rPr>
      <w:rFonts w:ascii="Source Sans Pro Light" w:hAnsi="Source Sans Pro Light" w:cs="Open Sans"/>
      <w:b/>
      <w:bCs/>
      <w:sz w:val="24"/>
      <w:szCs w:val="24"/>
    </w:rPr>
  </w:style>
  <w:style w:type="paragraph" w:styleId="Citationintense">
    <w:name w:val="Intense Quote"/>
    <w:aliases w:val="Citation chapitre"/>
    <w:basedOn w:val="Citation"/>
    <w:next w:val="Normal"/>
    <w:link w:val="CitationintenseCar"/>
    <w:uiPriority w:val="30"/>
    <w:qFormat/>
    <w:rsid w:val="008A227C"/>
    <w:rPr>
      <w:sz w:val="44"/>
      <w:szCs w:val="48"/>
    </w:rPr>
  </w:style>
  <w:style w:type="character" w:customStyle="1" w:styleId="CitationintenseCar">
    <w:name w:val="Citation intense Car"/>
    <w:aliases w:val="Citation chapitre Car"/>
    <w:basedOn w:val="Policepardfaut"/>
    <w:link w:val="Citationintense"/>
    <w:uiPriority w:val="30"/>
    <w:rsid w:val="008A227C"/>
    <w:rPr>
      <w:rFonts w:ascii="Source Sans Pro Light" w:hAnsi="Source Sans Pro Light" w:cstheme="minorHAnsi"/>
      <w:i/>
      <w:iCs/>
      <w:sz w:val="44"/>
      <w:szCs w:val="48"/>
    </w:rPr>
  </w:style>
  <w:style w:type="paragraph" w:styleId="En-ttedetabledesmatires">
    <w:name w:val="TOC Heading"/>
    <w:aliases w:val="Etiquette"/>
    <w:basedOn w:val="Titre3"/>
    <w:next w:val="Normal"/>
    <w:link w:val="En-ttedetabledesmatiresCar"/>
    <w:uiPriority w:val="39"/>
    <w:unhideWhenUsed/>
    <w:qFormat/>
    <w:rsid w:val="001D1FC7"/>
  </w:style>
  <w:style w:type="paragraph" w:styleId="TM2">
    <w:name w:val="toc 2"/>
    <w:basedOn w:val="Normal"/>
    <w:next w:val="Normal"/>
    <w:autoRedefine/>
    <w:uiPriority w:val="39"/>
    <w:unhideWhenUsed/>
    <w:rsid w:val="00BC6574"/>
    <w:pPr>
      <w:tabs>
        <w:tab w:val="left" w:pos="660"/>
        <w:tab w:val="right" w:leader="dot" w:pos="9630"/>
      </w:tabs>
      <w:spacing w:after="100"/>
    </w:pPr>
    <w:rPr>
      <w:color w:val="000000" w:themeColor="text1"/>
    </w:rPr>
  </w:style>
  <w:style w:type="paragraph" w:styleId="TM1">
    <w:name w:val="toc 1"/>
    <w:basedOn w:val="Normal"/>
    <w:next w:val="Normal"/>
    <w:autoRedefine/>
    <w:uiPriority w:val="39"/>
    <w:unhideWhenUsed/>
    <w:rsid w:val="00841347"/>
    <w:pPr>
      <w:tabs>
        <w:tab w:val="right" w:leader="dot" w:pos="9628"/>
      </w:tabs>
      <w:spacing w:after="100"/>
    </w:pPr>
    <w:rPr>
      <w:rFonts w:ascii="Source Sans Pro SemiBold" w:hAnsi="Source Sans Pro SemiBold"/>
      <w:color w:val="000000" w:themeColor="text1"/>
    </w:rPr>
  </w:style>
  <w:style w:type="paragraph" w:styleId="TM3">
    <w:name w:val="toc 3"/>
    <w:basedOn w:val="Normal"/>
    <w:next w:val="Normal"/>
    <w:autoRedefine/>
    <w:uiPriority w:val="39"/>
    <w:unhideWhenUsed/>
    <w:rsid w:val="00537A53"/>
    <w:pPr>
      <w:spacing w:after="100"/>
      <w:ind w:left="284"/>
    </w:pPr>
    <w:rPr>
      <w:color w:val="000000" w:themeColor="text1"/>
    </w:rPr>
  </w:style>
  <w:style w:type="character" w:styleId="Lienhypertexte">
    <w:name w:val="Hyperlink"/>
    <w:basedOn w:val="Policepardfaut"/>
    <w:uiPriority w:val="99"/>
    <w:unhideWhenUsed/>
    <w:rsid w:val="00AC57B5"/>
    <w:rPr>
      <w:color w:val="498CCB" w:themeColor="hyperlink"/>
      <w:u w:val="single"/>
    </w:rPr>
  </w:style>
  <w:style w:type="character" w:styleId="Accentuationlgre">
    <w:name w:val="Subtle Emphasis"/>
    <w:aliases w:val="Label"/>
    <w:basedOn w:val="Policepardfaut"/>
    <w:uiPriority w:val="19"/>
    <w:rsid w:val="009C7110"/>
    <w:rPr>
      <w:color w:val="FFFFFF" w:themeColor="background1"/>
    </w:rPr>
  </w:style>
  <w:style w:type="paragraph" w:styleId="Titre">
    <w:name w:val="Title"/>
    <w:aliases w:val="Grand Titre"/>
    <w:basedOn w:val="Normal"/>
    <w:next w:val="Normal"/>
    <w:link w:val="TitreCar"/>
    <w:uiPriority w:val="10"/>
    <w:qFormat/>
    <w:rsid w:val="00577089"/>
    <w:rPr>
      <w:rFonts w:ascii="Source Sans Pro SemiBold" w:hAnsi="Source Sans Pro SemiBold"/>
      <w:color w:val="000000" w:themeColor="text1"/>
      <w:sz w:val="84"/>
    </w:rPr>
  </w:style>
  <w:style w:type="character" w:customStyle="1" w:styleId="TitreCar">
    <w:name w:val="Titre Car"/>
    <w:aliases w:val="Grand Titre Car"/>
    <w:basedOn w:val="Policepardfaut"/>
    <w:link w:val="Titre"/>
    <w:uiPriority w:val="10"/>
    <w:rsid w:val="00577089"/>
    <w:rPr>
      <w:rFonts w:ascii="Source Sans Pro SemiBold" w:hAnsi="Source Sans Pro SemiBold" w:cs="Open Sans"/>
      <w:color w:val="000000" w:themeColor="text1"/>
      <w:sz w:val="84"/>
      <w:szCs w:val="24"/>
    </w:rPr>
  </w:style>
  <w:style w:type="character" w:customStyle="1" w:styleId="Titre4Car">
    <w:name w:val="Titre 4 Car"/>
    <w:basedOn w:val="Policepardfaut"/>
    <w:link w:val="Titre4"/>
    <w:uiPriority w:val="9"/>
    <w:rsid w:val="00AF4061"/>
    <w:rPr>
      <w:rFonts w:ascii="Source Sans Pro Light" w:eastAsiaTheme="majorEastAsia" w:hAnsi="Source Sans Pro Light" w:cstheme="majorBidi"/>
      <w:b/>
      <w:bCs/>
      <w:i/>
      <w:iCs/>
      <w:color w:val="000000" w:themeColor="text1"/>
    </w:rPr>
  </w:style>
  <w:style w:type="character" w:styleId="Accentuation">
    <w:name w:val="Emphasis"/>
    <w:aliases w:val="Gras"/>
    <w:uiPriority w:val="20"/>
    <w:qFormat/>
    <w:rsid w:val="00F27B41"/>
    <w:rPr>
      <w:rFonts w:ascii="Source Sans Pro SemiBold" w:hAnsi="Source Sans Pro SemiBold"/>
    </w:rPr>
  </w:style>
  <w:style w:type="character" w:styleId="Rfrencelgre">
    <w:name w:val="Subtle Reference"/>
    <w:uiPriority w:val="31"/>
    <w:qFormat/>
    <w:rsid w:val="003739FE"/>
    <w:rPr>
      <w:rFonts w:ascii="Open Sans Light" w:hAnsi="Open Sans Light"/>
      <w:sz w:val="18"/>
      <w:szCs w:val="18"/>
    </w:rPr>
  </w:style>
  <w:style w:type="paragraph" w:styleId="Notedebasdepage">
    <w:name w:val="footnote text"/>
    <w:basedOn w:val="Normal"/>
    <w:link w:val="NotedebasdepageCar"/>
    <w:uiPriority w:val="99"/>
    <w:unhideWhenUsed/>
    <w:rsid w:val="00CA5019"/>
    <w:pPr>
      <w:spacing w:after="0"/>
    </w:pPr>
    <w:rPr>
      <w:sz w:val="18"/>
      <w:szCs w:val="18"/>
    </w:rPr>
  </w:style>
  <w:style w:type="character" w:customStyle="1" w:styleId="NotedebasdepageCar">
    <w:name w:val="Note de bas de page Car"/>
    <w:basedOn w:val="Policepardfaut"/>
    <w:link w:val="Notedebasdepage"/>
    <w:uiPriority w:val="99"/>
    <w:rsid w:val="00CA5019"/>
    <w:rPr>
      <w:rFonts w:ascii="Source Sans Pro Light" w:hAnsi="Source Sans Pro Light" w:cs="Open Sans"/>
      <w:sz w:val="18"/>
      <w:szCs w:val="18"/>
    </w:rPr>
  </w:style>
  <w:style w:type="character" w:styleId="Appelnotedebasdep">
    <w:name w:val="footnote reference"/>
    <w:aliases w:val="Footnote symbol,Footnote s,Times 10 Point, Exposant 3 Point,Exposant 3 ,Exposant 3 Point,Expos,Exposant 3,Texte Appel note de bas de p."/>
    <w:basedOn w:val="Policepardfaut"/>
    <w:uiPriority w:val="99"/>
    <w:unhideWhenUsed/>
    <w:qFormat/>
    <w:rsid w:val="00A86A2F"/>
    <w:rPr>
      <w:rFonts w:ascii="Source Sans Pro Light" w:hAnsi="Source Sans Pro Light"/>
      <w:b/>
      <w:vertAlign w:val="superscript"/>
    </w:rPr>
  </w:style>
  <w:style w:type="paragraph" w:styleId="Notedefin">
    <w:name w:val="endnote text"/>
    <w:basedOn w:val="Normal"/>
    <w:link w:val="NotedefinCar"/>
    <w:uiPriority w:val="99"/>
    <w:semiHidden/>
    <w:unhideWhenUsed/>
    <w:rsid w:val="00096C89"/>
    <w:pPr>
      <w:spacing w:after="0"/>
    </w:pPr>
    <w:rPr>
      <w:sz w:val="20"/>
      <w:szCs w:val="20"/>
    </w:rPr>
  </w:style>
  <w:style w:type="character" w:customStyle="1" w:styleId="NotedefinCar">
    <w:name w:val="Note de fin Car"/>
    <w:basedOn w:val="Policepardfaut"/>
    <w:link w:val="Notedefin"/>
    <w:uiPriority w:val="99"/>
    <w:semiHidden/>
    <w:rsid w:val="00096C89"/>
    <w:rPr>
      <w:rFonts w:ascii="Source Sans Pro Light" w:hAnsi="Source Sans Pro Light" w:cs="Open Sans"/>
      <w:sz w:val="20"/>
      <w:szCs w:val="20"/>
    </w:rPr>
  </w:style>
  <w:style w:type="character" w:styleId="Appeldenotedefin">
    <w:name w:val="endnote reference"/>
    <w:basedOn w:val="Policepardfaut"/>
    <w:uiPriority w:val="99"/>
    <w:semiHidden/>
    <w:unhideWhenUsed/>
    <w:rsid w:val="00096C89"/>
    <w:rPr>
      <w:vertAlign w:val="superscript"/>
    </w:rPr>
  </w:style>
  <w:style w:type="paragraph" w:customStyle="1" w:styleId="Etiquettenoire">
    <w:name w:val="Etiquette noire"/>
    <w:basedOn w:val="En-ttedetabledesmatires"/>
    <w:link w:val="EtiquettenoireCar"/>
    <w:uiPriority w:val="1"/>
    <w:qFormat/>
    <w:rsid w:val="0008142A"/>
    <w:rPr>
      <w:sz w:val="36"/>
    </w:rPr>
  </w:style>
  <w:style w:type="paragraph" w:styleId="Paragraphedeliste">
    <w:name w:val="List Paragraph"/>
    <w:aliases w:val="Paragraphe de liste num,Paragraphe de liste 1,Listes,titre de figure"/>
    <w:basedOn w:val="Normal"/>
    <w:link w:val="ParagraphedelisteCar"/>
    <w:uiPriority w:val="34"/>
    <w:qFormat/>
    <w:rsid w:val="00BF5E65"/>
    <w:pPr>
      <w:ind w:left="720"/>
      <w:contextualSpacing/>
    </w:pPr>
  </w:style>
  <w:style w:type="character" w:customStyle="1" w:styleId="En-ttedetabledesmatiresCar">
    <w:name w:val="En-tête de table des matières Car"/>
    <w:aliases w:val="Etiquette Car"/>
    <w:basedOn w:val="Titre3Car"/>
    <w:link w:val="En-ttedetabledesmatires"/>
    <w:uiPriority w:val="39"/>
    <w:rsid w:val="0008142A"/>
    <w:rPr>
      <w:rFonts w:ascii="Source Sans Pro Light" w:hAnsi="Source Sans Pro Light" w:cs="Open Sans"/>
      <w:b/>
      <w:bCs/>
      <w:sz w:val="24"/>
      <w:szCs w:val="24"/>
    </w:rPr>
  </w:style>
  <w:style w:type="character" w:customStyle="1" w:styleId="EtiquettenoireCar">
    <w:name w:val="Etiquette noire Car"/>
    <w:basedOn w:val="En-ttedetabledesmatiresCar"/>
    <w:link w:val="Etiquettenoire"/>
    <w:uiPriority w:val="1"/>
    <w:rsid w:val="0008142A"/>
    <w:rPr>
      <w:rFonts w:ascii="Source Sans Pro Light" w:hAnsi="Source Sans Pro Light" w:cs="Open Sans"/>
      <w:b/>
      <w:bCs/>
      <w:sz w:val="36"/>
      <w:szCs w:val="24"/>
    </w:rPr>
  </w:style>
  <w:style w:type="paragraph" w:customStyle="1" w:styleId="Listestandard">
    <w:name w:val="Liste standard"/>
    <w:basedOn w:val="Paragraphedeliste"/>
    <w:link w:val="ListestandardCar"/>
    <w:qFormat/>
    <w:rsid w:val="00814BF7"/>
    <w:pPr>
      <w:numPr>
        <w:numId w:val="9"/>
      </w:numPr>
      <w:contextualSpacing w:val="0"/>
    </w:pPr>
    <w:rPr>
      <w:noProof/>
    </w:rPr>
  </w:style>
  <w:style w:type="character" w:customStyle="1" w:styleId="ParagraphedelisteCar">
    <w:name w:val="Paragraphe de liste Car"/>
    <w:aliases w:val="Paragraphe de liste num Car,Paragraphe de liste 1 Car,Listes Car,titre de figure Car"/>
    <w:basedOn w:val="Policepardfaut"/>
    <w:link w:val="Paragraphedeliste"/>
    <w:uiPriority w:val="34"/>
    <w:rsid w:val="00DB5E14"/>
    <w:rPr>
      <w:rFonts w:ascii="Source Sans Pro Light" w:hAnsi="Source Sans Pro Light" w:cs="Open Sans"/>
      <w:sz w:val="24"/>
      <w:szCs w:val="24"/>
    </w:rPr>
  </w:style>
  <w:style w:type="character" w:customStyle="1" w:styleId="ListestandardCar">
    <w:name w:val="Liste standard Car"/>
    <w:basedOn w:val="ParagraphedelisteCar"/>
    <w:link w:val="Listestandard"/>
    <w:rsid w:val="00814BF7"/>
    <w:rPr>
      <w:rFonts w:ascii="Source Sans Pro Light" w:hAnsi="Source Sans Pro Light" w:cs="Open Sans"/>
      <w:noProof/>
      <w:sz w:val="24"/>
      <w:szCs w:val="24"/>
    </w:rPr>
  </w:style>
  <w:style w:type="character" w:styleId="Titredulivre">
    <w:name w:val="Book Title"/>
    <w:aliases w:val="Sommaire"/>
    <w:uiPriority w:val="33"/>
    <w:qFormat/>
    <w:rsid w:val="00814BF7"/>
    <w:rPr>
      <w:rFonts w:ascii="Source Sans Pro SemiBold" w:hAnsi="Source Sans Pro SemiBold"/>
      <w:sz w:val="48"/>
      <w:szCs w:val="48"/>
    </w:rPr>
  </w:style>
  <w:style w:type="character" w:styleId="lev">
    <w:name w:val="Strong"/>
    <w:basedOn w:val="Policepardfaut"/>
    <w:uiPriority w:val="22"/>
    <w:qFormat/>
    <w:rsid w:val="00A715F6"/>
    <w:rPr>
      <w:rFonts w:ascii="Source Sans Pro Black" w:hAnsi="Source Sans Pro Black"/>
      <w:b/>
      <w:bCs/>
      <w:color w:val="auto"/>
      <w:sz w:val="22"/>
    </w:rPr>
  </w:style>
  <w:style w:type="character" w:styleId="Rfrenceintense">
    <w:name w:val="Intense Reference"/>
    <w:basedOn w:val="Policepardfaut"/>
    <w:uiPriority w:val="32"/>
    <w:qFormat/>
    <w:rsid w:val="003739FE"/>
    <w:rPr>
      <w:rFonts w:ascii="Source Sans Pro" w:hAnsi="Source Sans Pro"/>
      <w:b/>
      <w:bCs/>
      <w:caps w:val="0"/>
      <w:smallCaps w:val="0"/>
      <w:vanish w:val="0"/>
      <w:color w:val="auto"/>
      <w:spacing w:val="5"/>
    </w:rPr>
  </w:style>
  <w:style w:type="character" w:styleId="Accentuationintense">
    <w:name w:val="Intense Emphasis"/>
    <w:basedOn w:val="Policepardfaut"/>
    <w:uiPriority w:val="21"/>
    <w:qFormat/>
    <w:rsid w:val="003739FE"/>
    <w:rPr>
      <w:rFonts w:ascii="Source Sans Pro" w:hAnsi="Source Sans Pro"/>
      <w:i/>
      <w:iCs/>
      <w:color w:val="auto"/>
    </w:rPr>
  </w:style>
  <w:style w:type="character" w:customStyle="1" w:styleId="Titre5Car">
    <w:name w:val="Titre 5 Car"/>
    <w:basedOn w:val="Policepardfaut"/>
    <w:link w:val="Titre5"/>
    <w:uiPriority w:val="9"/>
    <w:rsid w:val="00D97336"/>
    <w:rPr>
      <w:rFonts w:ascii="Source Sans Pro Light" w:eastAsiaTheme="majorEastAsia" w:hAnsi="Source Sans Pro Light" w:cstheme="majorBidi"/>
      <w:b/>
      <w:bCs/>
      <w:i/>
      <w:iCs/>
      <w:color w:val="000000" w:themeColor="text1"/>
    </w:rPr>
  </w:style>
  <w:style w:type="character" w:customStyle="1" w:styleId="Titre6Car">
    <w:name w:val="Titre 6 Car"/>
    <w:basedOn w:val="Policepardfaut"/>
    <w:link w:val="Titre6"/>
    <w:uiPriority w:val="9"/>
    <w:semiHidden/>
    <w:rsid w:val="002E54FF"/>
    <w:rPr>
      <w:rFonts w:ascii="Source Sans Pro Light" w:eastAsiaTheme="majorEastAsia" w:hAnsi="Source Sans Pro Light" w:cstheme="majorBidi"/>
      <w:b/>
      <w:bCs/>
      <w:i/>
      <w:iCs/>
      <w:color w:val="000000" w:themeColor="text1"/>
    </w:rPr>
  </w:style>
  <w:style w:type="character" w:customStyle="1" w:styleId="Titre7Car">
    <w:name w:val="Titre 7 Car"/>
    <w:basedOn w:val="Policepardfaut"/>
    <w:link w:val="Titre7"/>
    <w:uiPriority w:val="9"/>
    <w:semiHidden/>
    <w:rsid w:val="00E93D2B"/>
    <w:rPr>
      <w:rFonts w:ascii="Source Sans Pro Light" w:eastAsiaTheme="majorEastAsia" w:hAnsi="Source Sans Pro Light" w:cstheme="majorBidi"/>
      <w:b/>
      <w:bCs/>
      <w:i/>
      <w:iCs/>
      <w:color w:val="000000" w:themeColor="text1"/>
    </w:rPr>
  </w:style>
  <w:style w:type="character" w:customStyle="1" w:styleId="Titre8Car">
    <w:name w:val="Titre 8 Car"/>
    <w:basedOn w:val="Policepardfaut"/>
    <w:link w:val="Titre8"/>
    <w:uiPriority w:val="9"/>
    <w:semiHidden/>
    <w:rsid w:val="002E54FF"/>
    <w:rPr>
      <w:rFonts w:ascii="Source Sans Pro Light" w:eastAsiaTheme="majorEastAsia" w:hAnsi="Source Sans Pro Light" w:cstheme="majorBidi"/>
      <w:b/>
      <w:bCs/>
      <w:i/>
      <w:iCs/>
      <w:color w:val="000000" w:themeColor="text1"/>
    </w:rPr>
  </w:style>
  <w:style w:type="character" w:customStyle="1" w:styleId="Titre9Car">
    <w:name w:val="Titre 9 Car"/>
    <w:basedOn w:val="Policepardfaut"/>
    <w:link w:val="Titre9"/>
    <w:uiPriority w:val="9"/>
    <w:semiHidden/>
    <w:rsid w:val="00E93D2B"/>
    <w:rPr>
      <w:rFonts w:ascii="Source Sans Pro Light" w:eastAsiaTheme="majorEastAsia" w:hAnsi="Source Sans Pro Light" w:cstheme="majorBidi"/>
      <w:iCs/>
      <w:color w:val="000000" w:themeColor="text1"/>
      <w:sz w:val="28"/>
      <w:szCs w:val="21"/>
    </w:rPr>
  </w:style>
  <w:style w:type="paragraph" w:styleId="Rvision">
    <w:name w:val="Revision"/>
    <w:hidden/>
    <w:uiPriority w:val="99"/>
    <w:semiHidden/>
    <w:rsid w:val="003B2921"/>
    <w:pPr>
      <w:spacing w:after="0" w:line="240" w:lineRule="auto"/>
    </w:pPr>
    <w:rPr>
      <w:rFonts w:ascii="Source Sans Pro Light" w:hAnsi="Source Sans Pro Light" w:cs="Open Sans"/>
      <w:sz w:val="24"/>
      <w:szCs w:val="24"/>
    </w:rPr>
  </w:style>
  <w:style w:type="character" w:styleId="Marquedecommentaire">
    <w:name w:val="annotation reference"/>
    <w:basedOn w:val="Policepardfaut"/>
    <w:uiPriority w:val="99"/>
    <w:semiHidden/>
    <w:unhideWhenUsed/>
    <w:rsid w:val="007E52F2"/>
    <w:rPr>
      <w:sz w:val="16"/>
      <w:szCs w:val="16"/>
    </w:rPr>
  </w:style>
  <w:style w:type="paragraph" w:styleId="Commentaire">
    <w:name w:val="annotation text"/>
    <w:basedOn w:val="Normal"/>
    <w:link w:val="CommentaireCar"/>
    <w:uiPriority w:val="99"/>
    <w:unhideWhenUsed/>
    <w:rsid w:val="007E52F2"/>
    <w:rPr>
      <w:sz w:val="20"/>
      <w:szCs w:val="20"/>
    </w:rPr>
  </w:style>
  <w:style w:type="character" w:customStyle="1" w:styleId="CommentaireCar">
    <w:name w:val="Commentaire Car"/>
    <w:basedOn w:val="Policepardfaut"/>
    <w:link w:val="Commentaire"/>
    <w:uiPriority w:val="99"/>
    <w:rsid w:val="007E52F2"/>
    <w:rPr>
      <w:rFonts w:ascii="Source Sans Pro Light" w:hAnsi="Source Sans Pro Light" w:cs="Open Sans"/>
      <w:sz w:val="20"/>
      <w:szCs w:val="20"/>
    </w:rPr>
  </w:style>
  <w:style w:type="paragraph" w:styleId="Objetducommentaire">
    <w:name w:val="annotation subject"/>
    <w:basedOn w:val="Commentaire"/>
    <w:next w:val="Commentaire"/>
    <w:link w:val="ObjetducommentaireCar"/>
    <w:uiPriority w:val="99"/>
    <w:semiHidden/>
    <w:unhideWhenUsed/>
    <w:rsid w:val="007E52F2"/>
    <w:rPr>
      <w:b/>
      <w:bCs/>
    </w:rPr>
  </w:style>
  <w:style w:type="character" w:customStyle="1" w:styleId="ObjetducommentaireCar">
    <w:name w:val="Objet du commentaire Car"/>
    <w:basedOn w:val="CommentaireCar"/>
    <w:link w:val="Objetducommentaire"/>
    <w:uiPriority w:val="99"/>
    <w:semiHidden/>
    <w:rsid w:val="007E52F2"/>
    <w:rPr>
      <w:rFonts w:ascii="Source Sans Pro Light" w:hAnsi="Source Sans Pro Light" w:cs="Open Sans"/>
      <w:b/>
      <w:bCs/>
      <w:sz w:val="20"/>
      <w:szCs w:val="20"/>
    </w:rPr>
  </w:style>
  <w:style w:type="character" w:styleId="Mentionnonrsolue">
    <w:name w:val="Unresolved Mention"/>
    <w:basedOn w:val="Policepardfaut"/>
    <w:uiPriority w:val="99"/>
    <w:semiHidden/>
    <w:unhideWhenUsed/>
    <w:rsid w:val="00A95269"/>
    <w:rPr>
      <w:color w:val="605E5C"/>
      <w:shd w:val="clear" w:color="auto" w:fill="E1DFDD"/>
    </w:rPr>
  </w:style>
  <w:style w:type="paragraph" w:styleId="Lgende">
    <w:name w:val="caption"/>
    <w:basedOn w:val="Normal"/>
    <w:next w:val="Normal"/>
    <w:uiPriority w:val="35"/>
    <w:unhideWhenUsed/>
    <w:qFormat/>
    <w:rsid w:val="007B6D10"/>
    <w:pPr>
      <w:spacing w:after="200"/>
      <w:jc w:val="center"/>
    </w:pPr>
    <w:rPr>
      <w:rFonts w:ascii="Calibri" w:eastAsia="Calibri" w:hAnsi="Calibri" w:cs="Calibri"/>
      <w:b/>
      <w:iCs/>
      <w:szCs w:val="18"/>
      <w:lang w:eastAsia="fr-FR"/>
    </w:rPr>
  </w:style>
  <w:style w:type="character" w:styleId="Lienhypertextesuivivisit">
    <w:name w:val="FollowedHyperlink"/>
    <w:basedOn w:val="Policepardfaut"/>
    <w:uiPriority w:val="99"/>
    <w:semiHidden/>
    <w:unhideWhenUsed/>
    <w:rsid w:val="002E7F53"/>
    <w:rPr>
      <w:color w:val="2BA8E5" w:themeColor="followedHyperlink"/>
      <w:u w:val="single"/>
    </w:rPr>
  </w:style>
  <w:style w:type="paragraph" w:styleId="NormalWeb">
    <w:name w:val="Normal (Web)"/>
    <w:basedOn w:val="Normal"/>
    <w:uiPriority w:val="99"/>
    <w:unhideWhenUsed/>
    <w:rsid w:val="004E5DD8"/>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paragraph">
    <w:name w:val="paragraph"/>
    <w:basedOn w:val="Normal"/>
    <w:rsid w:val="00B336EA"/>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336EA"/>
  </w:style>
  <w:style w:type="character" w:customStyle="1" w:styleId="eop">
    <w:name w:val="eop"/>
    <w:basedOn w:val="Policepardfaut"/>
    <w:rsid w:val="00B336EA"/>
  </w:style>
  <w:style w:type="character" w:customStyle="1" w:styleId="y2iqfc">
    <w:name w:val="y2iqfc"/>
    <w:basedOn w:val="Policepardfaut"/>
    <w:rsid w:val="00B336EA"/>
  </w:style>
  <w:style w:type="character" w:customStyle="1" w:styleId="infobulle-accessible">
    <w:name w:val="infobulle-accessible"/>
    <w:basedOn w:val="Policepardfaut"/>
    <w:rsid w:val="00432996"/>
  </w:style>
  <w:style w:type="character" w:styleId="Mention">
    <w:name w:val="Mention"/>
    <w:basedOn w:val="Policepardfaut"/>
    <w:uiPriority w:val="99"/>
    <w:unhideWhenUsed/>
    <w:rsid w:val="0054331D"/>
    <w:rPr>
      <w:color w:val="2B579A"/>
      <w:shd w:val="clear" w:color="auto" w:fill="E1DFDD"/>
    </w:rPr>
  </w:style>
  <w:style w:type="paragraph" w:styleId="TM4">
    <w:name w:val="toc 4"/>
    <w:basedOn w:val="Normal"/>
    <w:next w:val="Normal"/>
    <w:autoRedefine/>
    <w:uiPriority w:val="39"/>
    <w:unhideWhenUsed/>
    <w:rsid w:val="00E267D8"/>
    <w:pPr>
      <w:spacing w:after="100" w:line="259" w:lineRule="auto"/>
      <w:ind w:left="660"/>
      <w:jc w:val="left"/>
    </w:pPr>
    <w:rPr>
      <w:rFonts w:asciiTheme="minorHAnsi" w:eastAsiaTheme="minorEastAsia" w:hAnsiTheme="minorHAnsi" w:cstheme="minorBidi"/>
      <w:kern w:val="2"/>
      <w:lang w:eastAsia="fr-FR"/>
      <w14:ligatures w14:val="standardContextual"/>
    </w:rPr>
  </w:style>
  <w:style w:type="paragraph" w:styleId="TM5">
    <w:name w:val="toc 5"/>
    <w:basedOn w:val="Normal"/>
    <w:next w:val="Normal"/>
    <w:autoRedefine/>
    <w:uiPriority w:val="39"/>
    <w:unhideWhenUsed/>
    <w:rsid w:val="00E267D8"/>
    <w:pPr>
      <w:spacing w:after="100" w:line="259" w:lineRule="auto"/>
      <w:ind w:left="880"/>
      <w:jc w:val="left"/>
    </w:pPr>
    <w:rPr>
      <w:rFonts w:asciiTheme="minorHAnsi" w:eastAsiaTheme="minorEastAsia" w:hAnsiTheme="minorHAnsi" w:cstheme="minorBidi"/>
      <w:kern w:val="2"/>
      <w:lang w:eastAsia="fr-FR"/>
      <w14:ligatures w14:val="standardContextual"/>
    </w:rPr>
  </w:style>
  <w:style w:type="paragraph" w:styleId="TM6">
    <w:name w:val="toc 6"/>
    <w:basedOn w:val="Normal"/>
    <w:next w:val="Normal"/>
    <w:autoRedefine/>
    <w:uiPriority w:val="39"/>
    <w:unhideWhenUsed/>
    <w:rsid w:val="00E267D8"/>
    <w:pPr>
      <w:spacing w:after="100" w:line="259" w:lineRule="auto"/>
      <w:ind w:left="1100"/>
      <w:jc w:val="left"/>
    </w:pPr>
    <w:rPr>
      <w:rFonts w:asciiTheme="minorHAnsi" w:eastAsiaTheme="minorEastAsia" w:hAnsiTheme="minorHAnsi" w:cstheme="minorBidi"/>
      <w:kern w:val="2"/>
      <w:lang w:eastAsia="fr-FR"/>
      <w14:ligatures w14:val="standardContextual"/>
    </w:rPr>
  </w:style>
  <w:style w:type="paragraph" w:styleId="TM7">
    <w:name w:val="toc 7"/>
    <w:basedOn w:val="Normal"/>
    <w:next w:val="Normal"/>
    <w:autoRedefine/>
    <w:uiPriority w:val="39"/>
    <w:unhideWhenUsed/>
    <w:rsid w:val="00E267D8"/>
    <w:pPr>
      <w:spacing w:after="100" w:line="259" w:lineRule="auto"/>
      <w:ind w:left="1320"/>
      <w:jc w:val="left"/>
    </w:pPr>
    <w:rPr>
      <w:rFonts w:asciiTheme="minorHAnsi" w:eastAsiaTheme="minorEastAsia" w:hAnsiTheme="minorHAnsi" w:cstheme="minorBidi"/>
      <w:kern w:val="2"/>
      <w:lang w:eastAsia="fr-FR"/>
      <w14:ligatures w14:val="standardContextual"/>
    </w:rPr>
  </w:style>
  <w:style w:type="paragraph" w:styleId="TM8">
    <w:name w:val="toc 8"/>
    <w:basedOn w:val="Normal"/>
    <w:next w:val="Normal"/>
    <w:autoRedefine/>
    <w:uiPriority w:val="39"/>
    <w:unhideWhenUsed/>
    <w:rsid w:val="00E267D8"/>
    <w:pPr>
      <w:spacing w:after="100" w:line="259" w:lineRule="auto"/>
      <w:ind w:left="1540"/>
      <w:jc w:val="left"/>
    </w:pPr>
    <w:rPr>
      <w:rFonts w:asciiTheme="minorHAnsi" w:eastAsiaTheme="minorEastAsia" w:hAnsiTheme="minorHAnsi" w:cstheme="minorBidi"/>
      <w:kern w:val="2"/>
      <w:lang w:eastAsia="fr-FR"/>
      <w14:ligatures w14:val="standardContextual"/>
    </w:rPr>
  </w:style>
  <w:style w:type="paragraph" w:styleId="TM9">
    <w:name w:val="toc 9"/>
    <w:basedOn w:val="Normal"/>
    <w:next w:val="Normal"/>
    <w:autoRedefine/>
    <w:uiPriority w:val="39"/>
    <w:unhideWhenUsed/>
    <w:rsid w:val="00E267D8"/>
    <w:pPr>
      <w:spacing w:after="100" w:line="259" w:lineRule="auto"/>
      <w:ind w:left="1760"/>
      <w:jc w:val="left"/>
    </w:pPr>
    <w:rPr>
      <w:rFonts w:asciiTheme="minorHAnsi" w:eastAsiaTheme="minorEastAsia" w:hAnsiTheme="minorHAnsi" w:cstheme="minorBidi"/>
      <w:kern w:val="2"/>
      <w:lang w:eastAsia="fr-FR"/>
      <w14:ligatures w14:val="standardContextual"/>
    </w:rPr>
  </w:style>
  <w:style w:type="character" w:customStyle="1" w:styleId="ui-provider">
    <w:name w:val="ui-provider"/>
    <w:basedOn w:val="Policepardfaut"/>
    <w:rsid w:val="00FE7F37"/>
  </w:style>
  <w:style w:type="character" w:customStyle="1" w:styleId="qv3wpe">
    <w:name w:val="qv3wpe"/>
    <w:basedOn w:val="Policepardfaut"/>
    <w:rsid w:val="00C21E8E"/>
  </w:style>
  <w:style w:type="paragraph" w:customStyle="1" w:styleId="pf0">
    <w:name w:val="pf0"/>
    <w:basedOn w:val="Normal"/>
    <w:rsid w:val="00283042"/>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cf01">
    <w:name w:val="cf01"/>
    <w:basedOn w:val="Policepardfaut"/>
    <w:rsid w:val="002830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348">
      <w:bodyDiv w:val="1"/>
      <w:marLeft w:val="0"/>
      <w:marRight w:val="0"/>
      <w:marTop w:val="0"/>
      <w:marBottom w:val="0"/>
      <w:divBdr>
        <w:top w:val="none" w:sz="0" w:space="0" w:color="auto"/>
        <w:left w:val="none" w:sz="0" w:space="0" w:color="auto"/>
        <w:bottom w:val="none" w:sz="0" w:space="0" w:color="auto"/>
        <w:right w:val="none" w:sz="0" w:space="0" w:color="auto"/>
      </w:divBdr>
    </w:div>
    <w:div w:id="64768100">
      <w:bodyDiv w:val="1"/>
      <w:marLeft w:val="0"/>
      <w:marRight w:val="0"/>
      <w:marTop w:val="0"/>
      <w:marBottom w:val="0"/>
      <w:divBdr>
        <w:top w:val="none" w:sz="0" w:space="0" w:color="auto"/>
        <w:left w:val="none" w:sz="0" w:space="0" w:color="auto"/>
        <w:bottom w:val="none" w:sz="0" w:space="0" w:color="auto"/>
        <w:right w:val="none" w:sz="0" w:space="0" w:color="auto"/>
      </w:divBdr>
    </w:div>
    <w:div w:id="177156485">
      <w:bodyDiv w:val="1"/>
      <w:marLeft w:val="0"/>
      <w:marRight w:val="0"/>
      <w:marTop w:val="0"/>
      <w:marBottom w:val="0"/>
      <w:divBdr>
        <w:top w:val="none" w:sz="0" w:space="0" w:color="auto"/>
        <w:left w:val="none" w:sz="0" w:space="0" w:color="auto"/>
        <w:bottom w:val="none" w:sz="0" w:space="0" w:color="auto"/>
        <w:right w:val="none" w:sz="0" w:space="0" w:color="auto"/>
      </w:divBdr>
    </w:div>
    <w:div w:id="190732755">
      <w:bodyDiv w:val="1"/>
      <w:marLeft w:val="0"/>
      <w:marRight w:val="0"/>
      <w:marTop w:val="0"/>
      <w:marBottom w:val="0"/>
      <w:divBdr>
        <w:top w:val="none" w:sz="0" w:space="0" w:color="auto"/>
        <w:left w:val="none" w:sz="0" w:space="0" w:color="auto"/>
        <w:bottom w:val="none" w:sz="0" w:space="0" w:color="auto"/>
        <w:right w:val="none" w:sz="0" w:space="0" w:color="auto"/>
      </w:divBdr>
    </w:div>
    <w:div w:id="194392815">
      <w:bodyDiv w:val="1"/>
      <w:marLeft w:val="0"/>
      <w:marRight w:val="0"/>
      <w:marTop w:val="0"/>
      <w:marBottom w:val="0"/>
      <w:divBdr>
        <w:top w:val="none" w:sz="0" w:space="0" w:color="auto"/>
        <w:left w:val="none" w:sz="0" w:space="0" w:color="auto"/>
        <w:bottom w:val="none" w:sz="0" w:space="0" w:color="auto"/>
        <w:right w:val="none" w:sz="0" w:space="0" w:color="auto"/>
      </w:divBdr>
    </w:div>
    <w:div w:id="212272687">
      <w:bodyDiv w:val="1"/>
      <w:marLeft w:val="0"/>
      <w:marRight w:val="0"/>
      <w:marTop w:val="0"/>
      <w:marBottom w:val="0"/>
      <w:divBdr>
        <w:top w:val="none" w:sz="0" w:space="0" w:color="auto"/>
        <w:left w:val="none" w:sz="0" w:space="0" w:color="auto"/>
        <w:bottom w:val="none" w:sz="0" w:space="0" w:color="auto"/>
        <w:right w:val="none" w:sz="0" w:space="0" w:color="auto"/>
      </w:divBdr>
    </w:div>
    <w:div w:id="220167583">
      <w:bodyDiv w:val="1"/>
      <w:marLeft w:val="0"/>
      <w:marRight w:val="0"/>
      <w:marTop w:val="0"/>
      <w:marBottom w:val="0"/>
      <w:divBdr>
        <w:top w:val="none" w:sz="0" w:space="0" w:color="auto"/>
        <w:left w:val="none" w:sz="0" w:space="0" w:color="auto"/>
        <w:bottom w:val="none" w:sz="0" w:space="0" w:color="auto"/>
        <w:right w:val="none" w:sz="0" w:space="0" w:color="auto"/>
      </w:divBdr>
    </w:div>
    <w:div w:id="224226787">
      <w:bodyDiv w:val="1"/>
      <w:marLeft w:val="0"/>
      <w:marRight w:val="0"/>
      <w:marTop w:val="0"/>
      <w:marBottom w:val="0"/>
      <w:divBdr>
        <w:top w:val="none" w:sz="0" w:space="0" w:color="auto"/>
        <w:left w:val="none" w:sz="0" w:space="0" w:color="auto"/>
        <w:bottom w:val="none" w:sz="0" w:space="0" w:color="auto"/>
        <w:right w:val="none" w:sz="0" w:space="0" w:color="auto"/>
      </w:divBdr>
    </w:div>
    <w:div w:id="233510180">
      <w:bodyDiv w:val="1"/>
      <w:marLeft w:val="0"/>
      <w:marRight w:val="0"/>
      <w:marTop w:val="0"/>
      <w:marBottom w:val="0"/>
      <w:divBdr>
        <w:top w:val="none" w:sz="0" w:space="0" w:color="auto"/>
        <w:left w:val="none" w:sz="0" w:space="0" w:color="auto"/>
        <w:bottom w:val="none" w:sz="0" w:space="0" w:color="auto"/>
        <w:right w:val="none" w:sz="0" w:space="0" w:color="auto"/>
      </w:divBdr>
    </w:div>
    <w:div w:id="292685374">
      <w:bodyDiv w:val="1"/>
      <w:marLeft w:val="0"/>
      <w:marRight w:val="0"/>
      <w:marTop w:val="0"/>
      <w:marBottom w:val="0"/>
      <w:divBdr>
        <w:top w:val="none" w:sz="0" w:space="0" w:color="auto"/>
        <w:left w:val="none" w:sz="0" w:space="0" w:color="auto"/>
        <w:bottom w:val="none" w:sz="0" w:space="0" w:color="auto"/>
        <w:right w:val="none" w:sz="0" w:space="0" w:color="auto"/>
      </w:divBdr>
    </w:div>
    <w:div w:id="302736036">
      <w:bodyDiv w:val="1"/>
      <w:marLeft w:val="0"/>
      <w:marRight w:val="0"/>
      <w:marTop w:val="0"/>
      <w:marBottom w:val="0"/>
      <w:divBdr>
        <w:top w:val="none" w:sz="0" w:space="0" w:color="auto"/>
        <w:left w:val="none" w:sz="0" w:space="0" w:color="auto"/>
        <w:bottom w:val="none" w:sz="0" w:space="0" w:color="auto"/>
        <w:right w:val="none" w:sz="0" w:space="0" w:color="auto"/>
      </w:divBdr>
    </w:div>
    <w:div w:id="312879716">
      <w:bodyDiv w:val="1"/>
      <w:marLeft w:val="0"/>
      <w:marRight w:val="0"/>
      <w:marTop w:val="0"/>
      <w:marBottom w:val="0"/>
      <w:divBdr>
        <w:top w:val="none" w:sz="0" w:space="0" w:color="auto"/>
        <w:left w:val="none" w:sz="0" w:space="0" w:color="auto"/>
        <w:bottom w:val="none" w:sz="0" w:space="0" w:color="auto"/>
        <w:right w:val="none" w:sz="0" w:space="0" w:color="auto"/>
      </w:divBdr>
    </w:div>
    <w:div w:id="313264172">
      <w:bodyDiv w:val="1"/>
      <w:marLeft w:val="0"/>
      <w:marRight w:val="0"/>
      <w:marTop w:val="0"/>
      <w:marBottom w:val="0"/>
      <w:divBdr>
        <w:top w:val="none" w:sz="0" w:space="0" w:color="auto"/>
        <w:left w:val="none" w:sz="0" w:space="0" w:color="auto"/>
        <w:bottom w:val="none" w:sz="0" w:space="0" w:color="auto"/>
        <w:right w:val="none" w:sz="0" w:space="0" w:color="auto"/>
      </w:divBdr>
    </w:div>
    <w:div w:id="518856087">
      <w:bodyDiv w:val="1"/>
      <w:marLeft w:val="0"/>
      <w:marRight w:val="0"/>
      <w:marTop w:val="0"/>
      <w:marBottom w:val="0"/>
      <w:divBdr>
        <w:top w:val="none" w:sz="0" w:space="0" w:color="auto"/>
        <w:left w:val="none" w:sz="0" w:space="0" w:color="auto"/>
        <w:bottom w:val="none" w:sz="0" w:space="0" w:color="auto"/>
        <w:right w:val="none" w:sz="0" w:space="0" w:color="auto"/>
      </w:divBdr>
    </w:div>
    <w:div w:id="537819687">
      <w:bodyDiv w:val="1"/>
      <w:marLeft w:val="0"/>
      <w:marRight w:val="0"/>
      <w:marTop w:val="0"/>
      <w:marBottom w:val="0"/>
      <w:divBdr>
        <w:top w:val="none" w:sz="0" w:space="0" w:color="auto"/>
        <w:left w:val="none" w:sz="0" w:space="0" w:color="auto"/>
        <w:bottom w:val="none" w:sz="0" w:space="0" w:color="auto"/>
        <w:right w:val="none" w:sz="0" w:space="0" w:color="auto"/>
      </w:divBdr>
    </w:div>
    <w:div w:id="559436662">
      <w:bodyDiv w:val="1"/>
      <w:marLeft w:val="0"/>
      <w:marRight w:val="0"/>
      <w:marTop w:val="0"/>
      <w:marBottom w:val="0"/>
      <w:divBdr>
        <w:top w:val="none" w:sz="0" w:space="0" w:color="auto"/>
        <w:left w:val="none" w:sz="0" w:space="0" w:color="auto"/>
        <w:bottom w:val="none" w:sz="0" w:space="0" w:color="auto"/>
        <w:right w:val="none" w:sz="0" w:space="0" w:color="auto"/>
      </w:divBdr>
    </w:div>
    <w:div w:id="615450182">
      <w:bodyDiv w:val="1"/>
      <w:marLeft w:val="0"/>
      <w:marRight w:val="0"/>
      <w:marTop w:val="0"/>
      <w:marBottom w:val="0"/>
      <w:divBdr>
        <w:top w:val="none" w:sz="0" w:space="0" w:color="auto"/>
        <w:left w:val="none" w:sz="0" w:space="0" w:color="auto"/>
        <w:bottom w:val="none" w:sz="0" w:space="0" w:color="auto"/>
        <w:right w:val="none" w:sz="0" w:space="0" w:color="auto"/>
      </w:divBdr>
    </w:div>
    <w:div w:id="625233870">
      <w:bodyDiv w:val="1"/>
      <w:marLeft w:val="0"/>
      <w:marRight w:val="0"/>
      <w:marTop w:val="0"/>
      <w:marBottom w:val="0"/>
      <w:divBdr>
        <w:top w:val="none" w:sz="0" w:space="0" w:color="auto"/>
        <w:left w:val="none" w:sz="0" w:space="0" w:color="auto"/>
        <w:bottom w:val="none" w:sz="0" w:space="0" w:color="auto"/>
        <w:right w:val="none" w:sz="0" w:space="0" w:color="auto"/>
      </w:divBdr>
    </w:div>
    <w:div w:id="684330039">
      <w:bodyDiv w:val="1"/>
      <w:marLeft w:val="0"/>
      <w:marRight w:val="0"/>
      <w:marTop w:val="0"/>
      <w:marBottom w:val="0"/>
      <w:divBdr>
        <w:top w:val="none" w:sz="0" w:space="0" w:color="auto"/>
        <w:left w:val="none" w:sz="0" w:space="0" w:color="auto"/>
        <w:bottom w:val="none" w:sz="0" w:space="0" w:color="auto"/>
        <w:right w:val="none" w:sz="0" w:space="0" w:color="auto"/>
      </w:divBdr>
    </w:div>
    <w:div w:id="696395516">
      <w:bodyDiv w:val="1"/>
      <w:marLeft w:val="0"/>
      <w:marRight w:val="0"/>
      <w:marTop w:val="0"/>
      <w:marBottom w:val="0"/>
      <w:divBdr>
        <w:top w:val="none" w:sz="0" w:space="0" w:color="auto"/>
        <w:left w:val="none" w:sz="0" w:space="0" w:color="auto"/>
        <w:bottom w:val="none" w:sz="0" w:space="0" w:color="auto"/>
        <w:right w:val="none" w:sz="0" w:space="0" w:color="auto"/>
      </w:divBdr>
    </w:div>
    <w:div w:id="699936802">
      <w:bodyDiv w:val="1"/>
      <w:marLeft w:val="0"/>
      <w:marRight w:val="0"/>
      <w:marTop w:val="0"/>
      <w:marBottom w:val="0"/>
      <w:divBdr>
        <w:top w:val="none" w:sz="0" w:space="0" w:color="auto"/>
        <w:left w:val="none" w:sz="0" w:space="0" w:color="auto"/>
        <w:bottom w:val="none" w:sz="0" w:space="0" w:color="auto"/>
        <w:right w:val="none" w:sz="0" w:space="0" w:color="auto"/>
      </w:divBdr>
    </w:div>
    <w:div w:id="700738889">
      <w:bodyDiv w:val="1"/>
      <w:marLeft w:val="0"/>
      <w:marRight w:val="0"/>
      <w:marTop w:val="0"/>
      <w:marBottom w:val="0"/>
      <w:divBdr>
        <w:top w:val="none" w:sz="0" w:space="0" w:color="auto"/>
        <w:left w:val="none" w:sz="0" w:space="0" w:color="auto"/>
        <w:bottom w:val="none" w:sz="0" w:space="0" w:color="auto"/>
        <w:right w:val="none" w:sz="0" w:space="0" w:color="auto"/>
      </w:divBdr>
    </w:div>
    <w:div w:id="770660548">
      <w:bodyDiv w:val="1"/>
      <w:marLeft w:val="0"/>
      <w:marRight w:val="0"/>
      <w:marTop w:val="0"/>
      <w:marBottom w:val="0"/>
      <w:divBdr>
        <w:top w:val="none" w:sz="0" w:space="0" w:color="auto"/>
        <w:left w:val="none" w:sz="0" w:space="0" w:color="auto"/>
        <w:bottom w:val="none" w:sz="0" w:space="0" w:color="auto"/>
        <w:right w:val="none" w:sz="0" w:space="0" w:color="auto"/>
      </w:divBdr>
    </w:div>
    <w:div w:id="826745323">
      <w:bodyDiv w:val="1"/>
      <w:marLeft w:val="0"/>
      <w:marRight w:val="0"/>
      <w:marTop w:val="0"/>
      <w:marBottom w:val="0"/>
      <w:divBdr>
        <w:top w:val="none" w:sz="0" w:space="0" w:color="auto"/>
        <w:left w:val="none" w:sz="0" w:space="0" w:color="auto"/>
        <w:bottom w:val="none" w:sz="0" w:space="0" w:color="auto"/>
        <w:right w:val="none" w:sz="0" w:space="0" w:color="auto"/>
      </w:divBdr>
    </w:div>
    <w:div w:id="864710901">
      <w:bodyDiv w:val="1"/>
      <w:marLeft w:val="0"/>
      <w:marRight w:val="0"/>
      <w:marTop w:val="0"/>
      <w:marBottom w:val="0"/>
      <w:divBdr>
        <w:top w:val="none" w:sz="0" w:space="0" w:color="auto"/>
        <w:left w:val="none" w:sz="0" w:space="0" w:color="auto"/>
        <w:bottom w:val="none" w:sz="0" w:space="0" w:color="auto"/>
        <w:right w:val="none" w:sz="0" w:space="0" w:color="auto"/>
      </w:divBdr>
    </w:div>
    <w:div w:id="905334162">
      <w:bodyDiv w:val="1"/>
      <w:marLeft w:val="0"/>
      <w:marRight w:val="0"/>
      <w:marTop w:val="0"/>
      <w:marBottom w:val="0"/>
      <w:divBdr>
        <w:top w:val="none" w:sz="0" w:space="0" w:color="auto"/>
        <w:left w:val="none" w:sz="0" w:space="0" w:color="auto"/>
        <w:bottom w:val="none" w:sz="0" w:space="0" w:color="auto"/>
        <w:right w:val="none" w:sz="0" w:space="0" w:color="auto"/>
      </w:divBdr>
    </w:div>
    <w:div w:id="949630183">
      <w:bodyDiv w:val="1"/>
      <w:marLeft w:val="0"/>
      <w:marRight w:val="0"/>
      <w:marTop w:val="0"/>
      <w:marBottom w:val="0"/>
      <w:divBdr>
        <w:top w:val="none" w:sz="0" w:space="0" w:color="auto"/>
        <w:left w:val="none" w:sz="0" w:space="0" w:color="auto"/>
        <w:bottom w:val="none" w:sz="0" w:space="0" w:color="auto"/>
        <w:right w:val="none" w:sz="0" w:space="0" w:color="auto"/>
      </w:divBdr>
    </w:div>
    <w:div w:id="949775587">
      <w:bodyDiv w:val="1"/>
      <w:marLeft w:val="0"/>
      <w:marRight w:val="0"/>
      <w:marTop w:val="0"/>
      <w:marBottom w:val="0"/>
      <w:divBdr>
        <w:top w:val="none" w:sz="0" w:space="0" w:color="auto"/>
        <w:left w:val="none" w:sz="0" w:space="0" w:color="auto"/>
        <w:bottom w:val="none" w:sz="0" w:space="0" w:color="auto"/>
        <w:right w:val="none" w:sz="0" w:space="0" w:color="auto"/>
      </w:divBdr>
    </w:div>
    <w:div w:id="984746440">
      <w:bodyDiv w:val="1"/>
      <w:marLeft w:val="0"/>
      <w:marRight w:val="0"/>
      <w:marTop w:val="0"/>
      <w:marBottom w:val="0"/>
      <w:divBdr>
        <w:top w:val="none" w:sz="0" w:space="0" w:color="auto"/>
        <w:left w:val="none" w:sz="0" w:space="0" w:color="auto"/>
        <w:bottom w:val="none" w:sz="0" w:space="0" w:color="auto"/>
        <w:right w:val="none" w:sz="0" w:space="0" w:color="auto"/>
      </w:divBdr>
    </w:div>
    <w:div w:id="996803930">
      <w:bodyDiv w:val="1"/>
      <w:marLeft w:val="0"/>
      <w:marRight w:val="0"/>
      <w:marTop w:val="0"/>
      <w:marBottom w:val="0"/>
      <w:divBdr>
        <w:top w:val="none" w:sz="0" w:space="0" w:color="auto"/>
        <w:left w:val="none" w:sz="0" w:space="0" w:color="auto"/>
        <w:bottom w:val="none" w:sz="0" w:space="0" w:color="auto"/>
        <w:right w:val="none" w:sz="0" w:space="0" w:color="auto"/>
      </w:divBdr>
    </w:div>
    <w:div w:id="1023894820">
      <w:bodyDiv w:val="1"/>
      <w:marLeft w:val="0"/>
      <w:marRight w:val="0"/>
      <w:marTop w:val="0"/>
      <w:marBottom w:val="0"/>
      <w:divBdr>
        <w:top w:val="none" w:sz="0" w:space="0" w:color="auto"/>
        <w:left w:val="none" w:sz="0" w:space="0" w:color="auto"/>
        <w:bottom w:val="none" w:sz="0" w:space="0" w:color="auto"/>
        <w:right w:val="none" w:sz="0" w:space="0" w:color="auto"/>
      </w:divBdr>
    </w:div>
    <w:div w:id="1032613960">
      <w:bodyDiv w:val="1"/>
      <w:marLeft w:val="0"/>
      <w:marRight w:val="0"/>
      <w:marTop w:val="0"/>
      <w:marBottom w:val="0"/>
      <w:divBdr>
        <w:top w:val="none" w:sz="0" w:space="0" w:color="auto"/>
        <w:left w:val="none" w:sz="0" w:space="0" w:color="auto"/>
        <w:bottom w:val="none" w:sz="0" w:space="0" w:color="auto"/>
        <w:right w:val="none" w:sz="0" w:space="0" w:color="auto"/>
      </w:divBdr>
    </w:div>
    <w:div w:id="1057781795">
      <w:bodyDiv w:val="1"/>
      <w:marLeft w:val="0"/>
      <w:marRight w:val="0"/>
      <w:marTop w:val="0"/>
      <w:marBottom w:val="0"/>
      <w:divBdr>
        <w:top w:val="none" w:sz="0" w:space="0" w:color="auto"/>
        <w:left w:val="none" w:sz="0" w:space="0" w:color="auto"/>
        <w:bottom w:val="none" w:sz="0" w:space="0" w:color="auto"/>
        <w:right w:val="none" w:sz="0" w:space="0" w:color="auto"/>
      </w:divBdr>
    </w:div>
    <w:div w:id="1076514805">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86678835">
      <w:bodyDiv w:val="1"/>
      <w:marLeft w:val="0"/>
      <w:marRight w:val="0"/>
      <w:marTop w:val="0"/>
      <w:marBottom w:val="0"/>
      <w:divBdr>
        <w:top w:val="none" w:sz="0" w:space="0" w:color="auto"/>
        <w:left w:val="none" w:sz="0" w:space="0" w:color="auto"/>
        <w:bottom w:val="none" w:sz="0" w:space="0" w:color="auto"/>
        <w:right w:val="none" w:sz="0" w:space="0" w:color="auto"/>
      </w:divBdr>
    </w:div>
    <w:div w:id="1220247452">
      <w:bodyDiv w:val="1"/>
      <w:marLeft w:val="0"/>
      <w:marRight w:val="0"/>
      <w:marTop w:val="0"/>
      <w:marBottom w:val="0"/>
      <w:divBdr>
        <w:top w:val="none" w:sz="0" w:space="0" w:color="auto"/>
        <w:left w:val="none" w:sz="0" w:space="0" w:color="auto"/>
        <w:bottom w:val="none" w:sz="0" w:space="0" w:color="auto"/>
        <w:right w:val="none" w:sz="0" w:space="0" w:color="auto"/>
      </w:divBdr>
    </w:div>
    <w:div w:id="1280799488">
      <w:bodyDiv w:val="1"/>
      <w:marLeft w:val="0"/>
      <w:marRight w:val="0"/>
      <w:marTop w:val="0"/>
      <w:marBottom w:val="0"/>
      <w:divBdr>
        <w:top w:val="none" w:sz="0" w:space="0" w:color="auto"/>
        <w:left w:val="none" w:sz="0" w:space="0" w:color="auto"/>
        <w:bottom w:val="none" w:sz="0" w:space="0" w:color="auto"/>
        <w:right w:val="none" w:sz="0" w:space="0" w:color="auto"/>
      </w:divBdr>
    </w:div>
    <w:div w:id="1321930670">
      <w:bodyDiv w:val="1"/>
      <w:marLeft w:val="0"/>
      <w:marRight w:val="0"/>
      <w:marTop w:val="0"/>
      <w:marBottom w:val="0"/>
      <w:divBdr>
        <w:top w:val="none" w:sz="0" w:space="0" w:color="auto"/>
        <w:left w:val="none" w:sz="0" w:space="0" w:color="auto"/>
        <w:bottom w:val="none" w:sz="0" w:space="0" w:color="auto"/>
        <w:right w:val="none" w:sz="0" w:space="0" w:color="auto"/>
      </w:divBdr>
      <w:divsChild>
        <w:div w:id="1250119634">
          <w:marLeft w:val="480"/>
          <w:marRight w:val="0"/>
          <w:marTop w:val="0"/>
          <w:marBottom w:val="0"/>
          <w:divBdr>
            <w:top w:val="none" w:sz="0" w:space="0" w:color="auto"/>
            <w:left w:val="none" w:sz="0" w:space="0" w:color="auto"/>
            <w:bottom w:val="none" w:sz="0" w:space="0" w:color="auto"/>
            <w:right w:val="none" w:sz="0" w:space="0" w:color="auto"/>
          </w:divBdr>
          <w:divsChild>
            <w:div w:id="8886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438">
      <w:bodyDiv w:val="1"/>
      <w:marLeft w:val="0"/>
      <w:marRight w:val="0"/>
      <w:marTop w:val="0"/>
      <w:marBottom w:val="0"/>
      <w:divBdr>
        <w:top w:val="none" w:sz="0" w:space="0" w:color="auto"/>
        <w:left w:val="none" w:sz="0" w:space="0" w:color="auto"/>
        <w:bottom w:val="none" w:sz="0" w:space="0" w:color="auto"/>
        <w:right w:val="none" w:sz="0" w:space="0" w:color="auto"/>
      </w:divBdr>
    </w:div>
    <w:div w:id="1347056732">
      <w:bodyDiv w:val="1"/>
      <w:marLeft w:val="0"/>
      <w:marRight w:val="0"/>
      <w:marTop w:val="0"/>
      <w:marBottom w:val="0"/>
      <w:divBdr>
        <w:top w:val="none" w:sz="0" w:space="0" w:color="auto"/>
        <w:left w:val="none" w:sz="0" w:space="0" w:color="auto"/>
        <w:bottom w:val="none" w:sz="0" w:space="0" w:color="auto"/>
        <w:right w:val="none" w:sz="0" w:space="0" w:color="auto"/>
      </w:divBdr>
    </w:div>
    <w:div w:id="1402172575">
      <w:bodyDiv w:val="1"/>
      <w:marLeft w:val="0"/>
      <w:marRight w:val="0"/>
      <w:marTop w:val="0"/>
      <w:marBottom w:val="0"/>
      <w:divBdr>
        <w:top w:val="none" w:sz="0" w:space="0" w:color="auto"/>
        <w:left w:val="none" w:sz="0" w:space="0" w:color="auto"/>
        <w:bottom w:val="none" w:sz="0" w:space="0" w:color="auto"/>
        <w:right w:val="none" w:sz="0" w:space="0" w:color="auto"/>
      </w:divBdr>
    </w:div>
    <w:div w:id="1409500813">
      <w:bodyDiv w:val="1"/>
      <w:marLeft w:val="0"/>
      <w:marRight w:val="0"/>
      <w:marTop w:val="0"/>
      <w:marBottom w:val="0"/>
      <w:divBdr>
        <w:top w:val="none" w:sz="0" w:space="0" w:color="auto"/>
        <w:left w:val="none" w:sz="0" w:space="0" w:color="auto"/>
        <w:bottom w:val="none" w:sz="0" w:space="0" w:color="auto"/>
        <w:right w:val="none" w:sz="0" w:space="0" w:color="auto"/>
      </w:divBdr>
    </w:div>
    <w:div w:id="1436365310">
      <w:bodyDiv w:val="1"/>
      <w:marLeft w:val="0"/>
      <w:marRight w:val="0"/>
      <w:marTop w:val="0"/>
      <w:marBottom w:val="0"/>
      <w:divBdr>
        <w:top w:val="none" w:sz="0" w:space="0" w:color="auto"/>
        <w:left w:val="none" w:sz="0" w:space="0" w:color="auto"/>
        <w:bottom w:val="none" w:sz="0" w:space="0" w:color="auto"/>
        <w:right w:val="none" w:sz="0" w:space="0" w:color="auto"/>
      </w:divBdr>
    </w:div>
    <w:div w:id="1442384996">
      <w:bodyDiv w:val="1"/>
      <w:marLeft w:val="0"/>
      <w:marRight w:val="0"/>
      <w:marTop w:val="0"/>
      <w:marBottom w:val="0"/>
      <w:divBdr>
        <w:top w:val="none" w:sz="0" w:space="0" w:color="auto"/>
        <w:left w:val="none" w:sz="0" w:space="0" w:color="auto"/>
        <w:bottom w:val="none" w:sz="0" w:space="0" w:color="auto"/>
        <w:right w:val="none" w:sz="0" w:space="0" w:color="auto"/>
      </w:divBdr>
    </w:div>
    <w:div w:id="1444571727">
      <w:bodyDiv w:val="1"/>
      <w:marLeft w:val="0"/>
      <w:marRight w:val="0"/>
      <w:marTop w:val="0"/>
      <w:marBottom w:val="0"/>
      <w:divBdr>
        <w:top w:val="none" w:sz="0" w:space="0" w:color="auto"/>
        <w:left w:val="none" w:sz="0" w:space="0" w:color="auto"/>
        <w:bottom w:val="none" w:sz="0" w:space="0" w:color="auto"/>
        <w:right w:val="none" w:sz="0" w:space="0" w:color="auto"/>
      </w:divBdr>
    </w:div>
    <w:div w:id="1450322157">
      <w:bodyDiv w:val="1"/>
      <w:marLeft w:val="0"/>
      <w:marRight w:val="0"/>
      <w:marTop w:val="0"/>
      <w:marBottom w:val="0"/>
      <w:divBdr>
        <w:top w:val="none" w:sz="0" w:space="0" w:color="auto"/>
        <w:left w:val="none" w:sz="0" w:space="0" w:color="auto"/>
        <w:bottom w:val="none" w:sz="0" w:space="0" w:color="auto"/>
        <w:right w:val="none" w:sz="0" w:space="0" w:color="auto"/>
      </w:divBdr>
    </w:div>
    <w:div w:id="1472477498">
      <w:bodyDiv w:val="1"/>
      <w:marLeft w:val="0"/>
      <w:marRight w:val="0"/>
      <w:marTop w:val="0"/>
      <w:marBottom w:val="0"/>
      <w:divBdr>
        <w:top w:val="none" w:sz="0" w:space="0" w:color="auto"/>
        <w:left w:val="none" w:sz="0" w:space="0" w:color="auto"/>
        <w:bottom w:val="none" w:sz="0" w:space="0" w:color="auto"/>
        <w:right w:val="none" w:sz="0" w:space="0" w:color="auto"/>
      </w:divBdr>
      <w:divsChild>
        <w:div w:id="1082143526">
          <w:marLeft w:val="480"/>
          <w:marRight w:val="0"/>
          <w:marTop w:val="0"/>
          <w:marBottom w:val="0"/>
          <w:divBdr>
            <w:top w:val="none" w:sz="0" w:space="0" w:color="auto"/>
            <w:left w:val="none" w:sz="0" w:space="0" w:color="auto"/>
            <w:bottom w:val="none" w:sz="0" w:space="0" w:color="auto"/>
            <w:right w:val="none" w:sz="0" w:space="0" w:color="auto"/>
          </w:divBdr>
          <w:divsChild>
            <w:div w:id="16319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9910">
      <w:bodyDiv w:val="1"/>
      <w:marLeft w:val="0"/>
      <w:marRight w:val="0"/>
      <w:marTop w:val="0"/>
      <w:marBottom w:val="0"/>
      <w:divBdr>
        <w:top w:val="none" w:sz="0" w:space="0" w:color="auto"/>
        <w:left w:val="none" w:sz="0" w:space="0" w:color="auto"/>
        <w:bottom w:val="none" w:sz="0" w:space="0" w:color="auto"/>
        <w:right w:val="none" w:sz="0" w:space="0" w:color="auto"/>
      </w:divBdr>
    </w:div>
    <w:div w:id="1536231140">
      <w:bodyDiv w:val="1"/>
      <w:marLeft w:val="0"/>
      <w:marRight w:val="0"/>
      <w:marTop w:val="0"/>
      <w:marBottom w:val="0"/>
      <w:divBdr>
        <w:top w:val="none" w:sz="0" w:space="0" w:color="auto"/>
        <w:left w:val="none" w:sz="0" w:space="0" w:color="auto"/>
        <w:bottom w:val="none" w:sz="0" w:space="0" w:color="auto"/>
        <w:right w:val="none" w:sz="0" w:space="0" w:color="auto"/>
      </w:divBdr>
    </w:div>
    <w:div w:id="1661999091">
      <w:bodyDiv w:val="1"/>
      <w:marLeft w:val="0"/>
      <w:marRight w:val="0"/>
      <w:marTop w:val="0"/>
      <w:marBottom w:val="0"/>
      <w:divBdr>
        <w:top w:val="none" w:sz="0" w:space="0" w:color="auto"/>
        <w:left w:val="none" w:sz="0" w:space="0" w:color="auto"/>
        <w:bottom w:val="none" w:sz="0" w:space="0" w:color="auto"/>
        <w:right w:val="none" w:sz="0" w:space="0" w:color="auto"/>
      </w:divBdr>
      <w:divsChild>
        <w:div w:id="1316685693">
          <w:marLeft w:val="480"/>
          <w:marRight w:val="0"/>
          <w:marTop w:val="0"/>
          <w:marBottom w:val="0"/>
          <w:divBdr>
            <w:top w:val="none" w:sz="0" w:space="0" w:color="auto"/>
            <w:left w:val="none" w:sz="0" w:space="0" w:color="auto"/>
            <w:bottom w:val="none" w:sz="0" w:space="0" w:color="auto"/>
            <w:right w:val="none" w:sz="0" w:space="0" w:color="auto"/>
          </w:divBdr>
          <w:divsChild>
            <w:div w:id="1959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69">
      <w:bodyDiv w:val="1"/>
      <w:marLeft w:val="0"/>
      <w:marRight w:val="0"/>
      <w:marTop w:val="0"/>
      <w:marBottom w:val="0"/>
      <w:divBdr>
        <w:top w:val="none" w:sz="0" w:space="0" w:color="auto"/>
        <w:left w:val="none" w:sz="0" w:space="0" w:color="auto"/>
        <w:bottom w:val="none" w:sz="0" w:space="0" w:color="auto"/>
        <w:right w:val="none" w:sz="0" w:space="0" w:color="auto"/>
      </w:divBdr>
      <w:divsChild>
        <w:div w:id="1196191574">
          <w:marLeft w:val="480"/>
          <w:marRight w:val="0"/>
          <w:marTop w:val="0"/>
          <w:marBottom w:val="0"/>
          <w:divBdr>
            <w:top w:val="none" w:sz="0" w:space="0" w:color="auto"/>
            <w:left w:val="none" w:sz="0" w:space="0" w:color="auto"/>
            <w:bottom w:val="none" w:sz="0" w:space="0" w:color="auto"/>
            <w:right w:val="none" w:sz="0" w:space="0" w:color="auto"/>
          </w:divBdr>
          <w:divsChild>
            <w:div w:id="1294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6678">
      <w:bodyDiv w:val="1"/>
      <w:marLeft w:val="0"/>
      <w:marRight w:val="0"/>
      <w:marTop w:val="0"/>
      <w:marBottom w:val="0"/>
      <w:divBdr>
        <w:top w:val="none" w:sz="0" w:space="0" w:color="auto"/>
        <w:left w:val="none" w:sz="0" w:space="0" w:color="auto"/>
        <w:bottom w:val="none" w:sz="0" w:space="0" w:color="auto"/>
        <w:right w:val="none" w:sz="0" w:space="0" w:color="auto"/>
      </w:divBdr>
    </w:div>
    <w:div w:id="1789154177">
      <w:bodyDiv w:val="1"/>
      <w:marLeft w:val="0"/>
      <w:marRight w:val="0"/>
      <w:marTop w:val="0"/>
      <w:marBottom w:val="0"/>
      <w:divBdr>
        <w:top w:val="none" w:sz="0" w:space="0" w:color="auto"/>
        <w:left w:val="none" w:sz="0" w:space="0" w:color="auto"/>
        <w:bottom w:val="none" w:sz="0" w:space="0" w:color="auto"/>
        <w:right w:val="none" w:sz="0" w:space="0" w:color="auto"/>
      </w:divBdr>
    </w:div>
    <w:div w:id="1803882727">
      <w:bodyDiv w:val="1"/>
      <w:marLeft w:val="0"/>
      <w:marRight w:val="0"/>
      <w:marTop w:val="0"/>
      <w:marBottom w:val="0"/>
      <w:divBdr>
        <w:top w:val="none" w:sz="0" w:space="0" w:color="auto"/>
        <w:left w:val="none" w:sz="0" w:space="0" w:color="auto"/>
        <w:bottom w:val="none" w:sz="0" w:space="0" w:color="auto"/>
        <w:right w:val="none" w:sz="0" w:space="0" w:color="auto"/>
      </w:divBdr>
    </w:div>
    <w:div w:id="1867865048">
      <w:bodyDiv w:val="1"/>
      <w:marLeft w:val="0"/>
      <w:marRight w:val="0"/>
      <w:marTop w:val="0"/>
      <w:marBottom w:val="0"/>
      <w:divBdr>
        <w:top w:val="none" w:sz="0" w:space="0" w:color="auto"/>
        <w:left w:val="none" w:sz="0" w:space="0" w:color="auto"/>
        <w:bottom w:val="none" w:sz="0" w:space="0" w:color="auto"/>
        <w:right w:val="none" w:sz="0" w:space="0" w:color="auto"/>
      </w:divBdr>
    </w:div>
    <w:div w:id="1963339390">
      <w:bodyDiv w:val="1"/>
      <w:marLeft w:val="0"/>
      <w:marRight w:val="0"/>
      <w:marTop w:val="0"/>
      <w:marBottom w:val="0"/>
      <w:divBdr>
        <w:top w:val="none" w:sz="0" w:space="0" w:color="auto"/>
        <w:left w:val="none" w:sz="0" w:space="0" w:color="auto"/>
        <w:bottom w:val="none" w:sz="0" w:space="0" w:color="auto"/>
        <w:right w:val="none" w:sz="0" w:space="0" w:color="auto"/>
      </w:divBdr>
    </w:div>
    <w:div w:id="1997682036">
      <w:bodyDiv w:val="1"/>
      <w:marLeft w:val="0"/>
      <w:marRight w:val="0"/>
      <w:marTop w:val="0"/>
      <w:marBottom w:val="0"/>
      <w:divBdr>
        <w:top w:val="none" w:sz="0" w:space="0" w:color="auto"/>
        <w:left w:val="none" w:sz="0" w:space="0" w:color="auto"/>
        <w:bottom w:val="none" w:sz="0" w:space="0" w:color="auto"/>
        <w:right w:val="none" w:sz="0" w:space="0" w:color="auto"/>
      </w:divBdr>
    </w:div>
    <w:div w:id="2016103088">
      <w:bodyDiv w:val="1"/>
      <w:marLeft w:val="0"/>
      <w:marRight w:val="0"/>
      <w:marTop w:val="0"/>
      <w:marBottom w:val="0"/>
      <w:divBdr>
        <w:top w:val="none" w:sz="0" w:space="0" w:color="auto"/>
        <w:left w:val="none" w:sz="0" w:space="0" w:color="auto"/>
        <w:bottom w:val="none" w:sz="0" w:space="0" w:color="auto"/>
        <w:right w:val="none" w:sz="0" w:space="0" w:color="auto"/>
      </w:divBdr>
    </w:div>
    <w:div w:id="2102749338">
      <w:bodyDiv w:val="1"/>
      <w:marLeft w:val="0"/>
      <w:marRight w:val="0"/>
      <w:marTop w:val="0"/>
      <w:marBottom w:val="0"/>
      <w:divBdr>
        <w:top w:val="none" w:sz="0" w:space="0" w:color="auto"/>
        <w:left w:val="none" w:sz="0" w:space="0" w:color="auto"/>
        <w:bottom w:val="none" w:sz="0" w:space="0" w:color="auto"/>
        <w:right w:val="none" w:sz="0" w:space="0" w:color="auto"/>
      </w:divBdr>
    </w:div>
    <w:div w:id="21227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nnees.banquemondiale.org/indicateur/FP.CPI.TOTL.ZG?locations=XF" TargetMode="External"/><Relationship Id="rId18" Type="http://schemas.openxmlformats.org/officeDocument/2006/relationships/hyperlink" Target="https://www.i4ce.org/publication/methodologie-evaluer-durabilite-systeme-alimentaire-francais-climat/" TargetMode="External"/><Relationship Id="rId26" Type="http://schemas.openxmlformats.org/officeDocument/2006/relationships/hyperlink" Target="https://www.ffcga.coop/chiffres-cles/" TargetMode="External"/><Relationship Id="rId39" Type="http://schemas.openxmlformats.org/officeDocument/2006/relationships/footer" Target="footer3.xml"/><Relationship Id="rId21" Type="http://schemas.openxmlformats.org/officeDocument/2006/relationships/hyperlink" Target="https://www.budget.gouv.fr/documentation/documents-budgetaires/" TargetMode="External"/><Relationship Id="rId34" Type="http://schemas.openxmlformats.org/officeDocument/2006/relationships/hyperlink" Target="https://www.budget.gouv.fr/documentation/documents-budgetair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ee.fr/fr/statistiques/serie/001768678" TargetMode="External"/><Relationship Id="rId20" Type="http://schemas.openxmlformats.org/officeDocument/2006/relationships/hyperlink" Target="https://www.budget.gouv.fr/documentation/documents-budgetaires/" TargetMode="External"/><Relationship Id="rId29" Type="http://schemas.openxmlformats.org/officeDocument/2006/relationships/hyperlink" Target="https://data.ofgl.fr/pages/accuei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terinaire.fr/system/files/files/2021-11/ODV-ATLAS-NATIONAL-2021.pdf" TargetMode="External"/><Relationship Id="rId24" Type="http://schemas.openxmlformats.org/officeDocument/2006/relationships/hyperlink" Target="https://www.impots.gouv.fr/statistiques-impots-des-professionnels" TargetMode="External"/><Relationship Id="rId32" Type="http://schemas.openxmlformats.org/officeDocument/2006/relationships/hyperlink" Target="https://agriculture.gouv.fr/amelioration-de-la-qualite-des-repas-en-restauration-collective-mobilisation-des-acteurs-et"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nque-france.fr/fr/publications-et-statistiques/publications/projections-macroeconomiques-mars-2024" TargetMode="External"/><Relationship Id="rId23" Type="http://schemas.openxmlformats.org/officeDocument/2006/relationships/hyperlink" Target="https://www.impots.gouv.fr/statistiques-impots-des-professionnels" TargetMode="External"/><Relationship Id="rId28" Type="http://schemas.openxmlformats.org/officeDocument/2006/relationships/hyperlink" Target="https://www.i4ce.org/wp-content/uploads/I4CE-NichesFiscales.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udget.gouv.fr/documentation/documents-budgetaires/" TargetMode="External"/><Relationship Id="rId31" Type="http://schemas.openxmlformats.org/officeDocument/2006/relationships/hyperlink" Target="https://agriculture.gouv.fr/la-cantine-pour-apprendre-bien-man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ee.fr/fr/statistiques/serie/001768676" TargetMode="External"/><Relationship Id="rId22" Type="http://schemas.openxmlformats.org/officeDocument/2006/relationships/hyperlink" Target="https://www.impots.gouv.fr/statistiques-impots-des-professionnels" TargetMode="External"/><Relationship Id="rId27" Type="http://schemas.openxmlformats.org/officeDocument/2006/relationships/hyperlink" Target="https://www.citepa.org/wp-content/uploads/publications/secten/2023/Citepa_fichiers_par_secteur_v3d.zip" TargetMode="External"/><Relationship Id="rId30" Type="http://schemas.openxmlformats.org/officeDocument/2006/relationships/hyperlink" Target="https://www.ccomptes.fr/fr/publications/lenseignement-prive-sous-contra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eomag.fr/article/8649/hypermarches-la-part-du-non-alimentaire-dans-les-ventes-a-perdu-8-en-8-ans" TargetMode="External"/><Relationship Id="rId17" Type="http://schemas.openxmlformats.org/officeDocument/2006/relationships/hyperlink" Target="https://www.i4ce.org/publication/methodologie-evaluer-durabilite-systeme-alimentaire-francais-climat/" TargetMode="External"/><Relationship Id="rId25" Type="http://schemas.openxmlformats.org/officeDocument/2006/relationships/hyperlink" Target="https://www.lacooperationagricole.coop/une-reussite-economique" TargetMode="External"/><Relationship Id="rId33" Type="http://schemas.openxmlformats.org/officeDocument/2006/relationships/hyperlink" Target="https://www.assemblee-nationale.fr/dyn/16/rapports/cion-cedu/l16b2423_rapport-information"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gouv.fr/telecharger/135057" TargetMode="External"/><Relationship Id="rId13" Type="http://schemas.openxmlformats.org/officeDocument/2006/relationships/hyperlink" Target="https://ec.europa.eu/environment/life/project/Projects/" TargetMode="External"/><Relationship Id="rId18" Type="http://schemas.openxmlformats.org/officeDocument/2006/relationships/hyperlink" Target="https://www.igas.gouv.fr/IMG/pdf/2019-069R-P.pdf" TargetMode="External"/><Relationship Id="rId3" Type="http://schemas.openxmlformats.org/officeDocument/2006/relationships/hyperlink" Target="https://www.banque-france.fr/fr/publications-et-statistiques/publications/projections-macroeconomiques-mars-2024" TargetMode="External"/><Relationship Id="rId7" Type="http://schemas.openxmlformats.org/officeDocument/2006/relationships/hyperlink" Target="https://agriculture.gouv.fr/pac-2023-2027-le-plan-strategique-national" TargetMode="External"/><Relationship Id="rId12" Type="http://schemas.openxmlformats.org/officeDocument/2006/relationships/hyperlink" Target="https://www.touteleurope.eu/l-europe-et-moi/fonds-europeens-quels-sont-les-programmes-de-financement-de-l-union-europeenne/" TargetMode="External"/><Relationship Id="rId17" Type="http://schemas.openxmlformats.org/officeDocument/2006/relationships/hyperlink" Target="https://librairie.ademe.fr/consommer-autrement/6542-couts-complets-et-recettes-financieres-de-la-restauration-scolaire-quelles-marges-de-manoeuvre-pour-la-transition-ecologique-.html" TargetMode="External"/><Relationship Id="rId2" Type="http://schemas.openxmlformats.org/officeDocument/2006/relationships/hyperlink" Target="https://agreste.agriculture.gouv.fr/agreste-web/download/publication/publie/Chd2116/cd2021-16_Aqua2020.pdf" TargetMode="External"/><Relationship Id="rId16" Type="http://schemas.openxmlformats.org/officeDocument/2006/relationships/hyperlink" Target="https://www.data.gouv.fr/fr/datasets/valeur-du-point-dindice-majore-de-la-fonction-publique/" TargetMode="External"/><Relationship Id="rId1" Type="http://schemas.openxmlformats.org/officeDocument/2006/relationships/hyperlink" Target="https://www.ccomptes.fr/fr/publications/la-politique-dinstallation-des-nouveaux-agriculteurs-et-de-transmission-des" TargetMode="External"/><Relationship Id="rId6" Type="http://schemas.openxmlformats.org/officeDocument/2006/relationships/hyperlink" Target="https://www.ariege.gouv.fr/Actions-de-l-Etat/Agriculture/Aides-de-la-Politique-Agricole-Commune-PAC/Paiements-et-beneficiaires-de-la-PAC" TargetMode="External"/><Relationship Id="rId11" Type="http://schemas.openxmlformats.org/officeDocument/2006/relationships/hyperlink" Target="https://agriculture.gouv.fr/telecharger/135057" TargetMode="External"/><Relationship Id="rId5" Type="http://schemas.openxmlformats.org/officeDocument/2006/relationships/hyperlink" Target="https://www.senat.fr/fileadmin/import/files/fileadmin/Fichiers/Images/commission/finances/Auditions/Rapport_du_Gvt_au_Parlement_Etat_Securite_Sociale_01.pdf" TargetMode="External"/><Relationship Id="rId15" Type="http://schemas.openxmlformats.org/officeDocument/2006/relationships/hyperlink" Target="https://librairie.ademe.fr/consommer-autrement/6542-couts-complets-et-recettes-financieres-de-la-restauration-scolaire-quelles-marges-de-manoeuvre-pour-la-transition-ecologique-.html" TargetMode="External"/><Relationship Id="rId10" Type="http://schemas.openxmlformats.org/officeDocument/2006/relationships/hyperlink" Target="https://agreste.agriculture.gouv.fr/agreste-web/download/publication/publie/Dos2302/CCAN-2023-2_6juillet2023_Version%20definitive.pdf" TargetMode="External"/><Relationship Id="rId4" Type="http://schemas.openxmlformats.org/officeDocument/2006/relationships/hyperlink" Target="https://www.securite-sociale.fr/files/live/sites/SSFR/files/medias/PLFSS/2023/PLFSS2023_Annexe%204.pdf" TargetMode="External"/><Relationship Id="rId9" Type="http://schemas.openxmlformats.org/officeDocument/2006/relationships/hyperlink" Target="https://www.google.com/url?sa=t&amp;rct=j&amp;q=&amp;esrc=s&amp;source=web&amp;cd=&amp;ved=2ahUKEwjwuOm1v4WEAxWrVqQEHXg3AAAQFnoECBAQAQ&amp;url=https%3A%2F%2Fagriculture.gouv.fr%2Ftelecharger%2F111692%3Ftoken%3D07e53b9558f48592cc77676d240ea66ca9e27ff3dee87140d921ba93cf2c6309&amp;usg=AOvVaw27rLmTsVTvsIP8lf8msCtp&amp;opi=89978449" TargetMode="External"/><Relationship Id="rId14" Type="http://schemas.openxmlformats.org/officeDocument/2006/relationships/hyperlink" Target="https://www.senat.fr/fileadmin/import/files/fileadmin/Fichiers/Images/commission/finances/Controle/58-2/Rapport_Plan_de_relance.pdf" TargetMode="External"/></Relationships>
</file>

<file path=word/theme/theme1.xml><?xml version="1.0" encoding="utf-8"?>
<a:theme xmlns:a="http://schemas.openxmlformats.org/drawingml/2006/main" name="Thème Office">
  <a:themeElements>
    <a:clrScheme name="BASIC 7">
      <a:dk1>
        <a:srgbClr val="000000"/>
      </a:dk1>
      <a:lt1>
        <a:srgbClr val="FFFFFF"/>
      </a:lt1>
      <a:dk2>
        <a:srgbClr val="C5C5C5"/>
      </a:dk2>
      <a:lt2>
        <a:srgbClr val="ECECEC"/>
      </a:lt2>
      <a:accent1>
        <a:srgbClr val="2BA8E5"/>
      </a:accent1>
      <a:accent2>
        <a:srgbClr val="498CCB"/>
      </a:accent2>
      <a:accent3>
        <a:srgbClr val="0D6BB2"/>
      </a:accent3>
      <a:accent4>
        <a:srgbClr val="46549D"/>
      </a:accent4>
      <a:accent5>
        <a:srgbClr val="95BB50"/>
      </a:accent5>
      <a:accent6>
        <a:srgbClr val="60A873"/>
      </a:accent6>
      <a:hlink>
        <a:srgbClr val="498CCB"/>
      </a:hlink>
      <a:folHlink>
        <a:srgbClr val="2BA8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565D2027CB5C43B896265DB26BF053" ma:contentTypeVersion="20" ma:contentTypeDescription="Crée un document." ma:contentTypeScope="" ma:versionID="30fe95e58db8b7b2ca9ceb81231135c3">
  <xsd:schema xmlns:xsd="http://www.w3.org/2001/XMLSchema" xmlns:xs="http://www.w3.org/2001/XMLSchema" xmlns:p="http://schemas.microsoft.com/office/2006/metadata/properties" xmlns:ns1="http://schemas.microsoft.com/sharepoint/v3" xmlns:ns2="6d25fa36-6e92-4a8c-bcd7-8d2e2e5dc1cc" xmlns:ns3="2a193445-8f29-4d28-b3a3-ce6182a987ad" targetNamespace="http://schemas.microsoft.com/office/2006/metadata/properties" ma:root="true" ma:fieldsID="c33110d45108f9c3a8d0b17f94a7edbf" ns1:_="" ns2:_="" ns3:_="">
    <xsd:import namespace="http://schemas.microsoft.com/sharepoint/v3"/>
    <xsd:import namespace="6d25fa36-6e92-4a8c-bcd7-8d2e2e5dc1cc"/>
    <xsd:import namespace="2a193445-8f29-4d28-b3a3-ce6182a987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5fa36-6e92-4a8c-bcd7-8d2e2e5dc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db6b646-3ed7-48ad-b39c-bbf27f50b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93445-8f29-4d28-b3a3-ce6182a987a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4fd0a5eb-5bd5-4419-8c56-9da7f185a722}" ma:internalName="TaxCatchAll" ma:showField="CatchAllData" ma:web="2a193445-8f29-4d28-b3a3-ce6182a98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25fa36-6e92-4a8c-bcd7-8d2e2e5dc1cc">
      <Terms xmlns="http://schemas.microsoft.com/office/infopath/2007/PartnerControls"/>
    </lcf76f155ced4ddcb4097134ff3c332f>
    <TaxCatchAll xmlns="2a193445-8f29-4d28-b3a3-ce6182a987ad" xsi:nil="true"/>
    <SharedWithUsers xmlns="2a193445-8f29-4d28-b3a3-ce6182a987ad">
      <UserInfo>
        <DisplayName>Bureau satori SAS - Membres</DisplayName>
        <AccountId>389</AccountId>
        <AccountType/>
      </UserInfo>
      <UserInfo>
        <DisplayName>SC-CF - Membres</DisplayName>
        <AccountId>633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659742-452C-4F88-991D-92FC078A2644}">
  <ds:schemaRefs>
    <ds:schemaRef ds:uri="http://schemas.microsoft.com/sharepoint/v3/contenttype/forms"/>
  </ds:schemaRefs>
</ds:datastoreItem>
</file>

<file path=customXml/itemProps2.xml><?xml version="1.0" encoding="utf-8"?>
<ds:datastoreItem xmlns:ds="http://schemas.openxmlformats.org/officeDocument/2006/customXml" ds:itemID="{1D9447DA-9536-45F9-9FFB-5A1A278F9497}">
  <ds:schemaRefs>
    <ds:schemaRef ds:uri="http://schemas.openxmlformats.org/officeDocument/2006/bibliography"/>
  </ds:schemaRefs>
</ds:datastoreItem>
</file>

<file path=customXml/itemProps3.xml><?xml version="1.0" encoding="utf-8"?>
<ds:datastoreItem xmlns:ds="http://schemas.openxmlformats.org/officeDocument/2006/customXml" ds:itemID="{CA2E2861-030B-4300-8D7B-F3067DC0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5fa36-6e92-4a8c-bcd7-8d2e2e5dc1cc"/>
    <ds:schemaRef ds:uri="2a193445-8f29-4d28-b3a3-ce6182a98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F9B69-32C4-4452-83E8-C6F7CD705E74}">
  <ds:schemaRefs>
    <ds:schemaRef ds:uri="http://schemas.microsoft.com/office/2006/metadata/properties"/>
    <ds:schemaRef ds:uri="http://schemas.microsoft.com/office/infopath/2007/PartnerControls"/>
    <ds:schemaRef ds:uri="6d25fa36-6e92-4a8c-bcd7-8d2e2e5dc1cc"/>
    <ds:schemaRef ds:uri="2a193445-8f29-4d28-b3a3-ce6182a987a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41</Pages>
  <Words>16788</Words>
  <Characters>92334</Characters>
  <Application>Microsoft Office Word</Application>
  <DocSecurity>0</DocSecurity>
  <Lines>769</Lines>
  <Paragraphs>217</Paragraphs>
  <ScaleCrop>false</ScaleCrop>
  <Company/>
  <LinksUpToDate>false</LinksUpToDate>
  <CharactersWithSpaces>108905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Kuhnel</dc:creator>
  <cp:keywords/>
  <dc:description/>
  <cp:lastModifiedBy>Lucile ROGISSART</cp:lastModifiedBy>
  <cp:revision>61</cp:revision>
  <cp:lastPrinted>2023-01-01T22:14:00Z</cp:lastPrinted>
  <dcterms:created xsi:type="dcterms:W3CDTF">2024-09-12T09:37:00Z</dcterms:created>
  <dcterms:modified xsi:type="dcterms:W3CDTF">2024-09-12T15:15:00Z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0x01010043565D2027CB5C43B896265DB26BF053</vt:lpwstr>
  </property>
</Properties>
</file>